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28F5" w14:textId="775954C7" w:rsidR="00BC2A2B" w:rsidRPr="00AD7BD7" w:rsidRDefault="00BC2A2B" w:rsidP="00BC2A2B">
      <w:pPr>
        <w:tabs>
          <w:tab w:val="left" w:pos="2160"/>
          <w:tab w:val="left" w:pos="4680"/>
        </w:tabs>
        <w:rPr>
          <w:rStyle w:val="Strong"/>
          <w:rFonts w:asciiTheme="minorHAnsi" w:hAnsiTheme="minorHAnsi" w:cstheme="minorHAnsi"/>
          <w:b/>
          <w:color w:val="000000" w:themeColor="text1"/>
          <w:sz w:val="28"/>
          <w:szCs w:val="28"/>
        </w:rPr>
      </w:pPr>
      <w:r w:rsidRPr="00AD7BD7">
        <w:rPr>
          <w:b/>
          <w:color w:val="3C7090"/>
          <w:sz w:val="28"/>
        </w:rPr>
        <w:t>Date:</w:t>
      </w:r>
      <w:r w:rsidRPr="00AD7BD7">
        <w:rPr>
          <w:rFonts w:eastAsiaTheme="majorEastAsia"/>
          <w:b/>
          <w:sz w:val="28"/>
        </w:rPr>
        <w:tab/>
      </w:r>
      <w:r w:rsidR="00155047">
        <w:rPr>
          <w:rFonts w:eastAsiaTheme="majorEastAsia"/>
          <w:b/>
          <w:sz w:val="28"/>
        </w:rPr>
        <w:t>04/21/2026</w:t>
      </w:r>
      <w:r w:rsidRPr="00AD7BD7">
        <w:rPr>
          <w:rFonts w:asciiTheme="minorHAnsi" w:hAnsiTheme="minorHAnsi" w:cstheme="minorHAnsi"/>
          <w:b/>
          <w:color w:val="000000" w:themeColor="text1"/>
          <w:sz w:val="28"/>
          <w:szCs w:val="28"/>
        </w:rPr>
        <w:tab/>
      </w:r>
      <w:r w:rsidR="009C30E3">
        <w:rPr>
          <w:b/>
          <w:color w:val="3C7090"/>
          <w:sz w:val="28"/>
        </w:rPr>
        <w:t>Internal Memo</w:t>
      </w:r>
      <w:r w:rsidRPr="00AD7BD7">
        <w:rPr>
          <w:b/>
          <w:color w:val="3C7090"/>
          <w:sz w:val="28"/>
        </w:rPr>
        <w:t xml:space="preserve"> #:</w:t>
      </w:r>
      <w:r w:rsidRPr="00D4071B">
        <w:rPr>
          <w:b/>
          <w:sz w:val="28"/>
          <w:szCs w:val="28"/>
        </w:rPr>
        <w:t xml:space="preserve"> </w:t>
      </w:r>
      <w:r w:rsidR="00155047">
        <w:rPr>
          <w:b/>
          <w:sz w:val="28"/>
          <w:szCs w:val="28"/>
        </w:rPr>
        <w:t>IM26-002IFS</w:t>
      </w:r>
    </w:p>
    <w:p w14:paraId="563E2308" w14:textId="485E91BE" w:rsidR="00BC2A2B" w:rsidRPr="00AD7BD7" w:rsidRDefault="00BC2A2B" w:rsidP="00BC2A2B">
      <w:pPr>
        <w:tabs>
          <w:tab w:val="left" w:pos="2160"/>
          <w:tab w:val="right" w:pos="9360"/>
        </w:tabs>
        <w:rPr>
          <w:rStyle w:val="Strong"/>
          <w:b/>
          <w:sz w:val="28"/>
          <w:szCs w:val="28"/>
        </w:rPr>
      </w:pPr>
      <w:r w:rsidRPr="00AD7BD7">
        <w:rPr>
          <w:b/>
          <w:color w:val="3C7090"/>
          <w:sz w:val="28"/>
        </w:rPr>
        <w:t>To:</w:t>
      </w:r>
      <w:r w:rsidRPr="00AD7BD7">
        <w:rPr>
          <w:b/>
          <w:color w:val="3C7090"/>
          <w:sz w:val="28"/>
        </w:rPr>
        <w:tab/>
      </w:r>
      <w:r w:rsidR="00155047">
        <w:rPr>
          <w:b/>
          <w:sz w:val="28"/>
          <w:szCs w:val="28"/>
        </w:rPr>
        <w:t>Council</w:t>
      </w:r>
    </w:p>
    <w:p w14:paraId="28D2D68E" w14:textId="77DF500B" w:rsidR="00BC2A2B" w:rsidRPr="00AD7BD7" w:rsidRDefault="00BC2A2B" w:rsidP="00155047">
      <w:pPr>
        <w:tabs>
          <w:tab w:val="left" w:pos="2160"/>
          <w:tab w:val="left" w:pos="4680"/>
        </w:tabs>
        <w:ind w:left="2160" w:hanging="2160"/>
        <w:rPr>
          <w:b/>
          <w:sz w:val="28"/>
          <w:szCs w:val="28"/>
        </w:rPr>
      </w:pPr>
      <w:r w:rsidRPr="00AD7BD7">
        <w:rPr>
          <w:b/>
          <w:color w:val="3C7090"/>
          <w:sz w:val="28"/>
        </w:rPr>
        <w:t>Circulated to:</w:t>
      </w:r>
      <w:r w:rsidRPr="00D4071B">
        <w:rPr>
          <w:sz w:val="28"/>
        </w:rPr>
        <w:tab/>
      </w:r>
      <w:r w:rsidR="00155047">
        <w:rPr>
          <w:b/>
          <w:sz w:val="28"/>
          <w:szCs w:val="28"/>
        </w:rPr>
        <w:t>Rob Axiak, City Manager; Yogesh Shah, General Manager of Infrastructure Services; Mike Parsons, Director of Environmental Services</w:t>
      </w:r>
    </w:p>
    <w:p w14:paraId="635F1365" w14:textId="730B9FA6" w:rsidR="00BC2A2B" w:rsidRPr="00AD7BD7" w:rsidRDefault="00BC2A2B" w:rsidP="00BC2A2B">
      <w:pPr>
        <w:tabs>
          <w:tab w:val="left" w:pos="2160"/>
          <w:tab w:val="left" w:pos="4680"/>
        </w:tabs>
        <w:rPr>
          <w:rFonts w:asciiTheme="minorHAnsi" w:hAnsiTheme="minorHAnsi" w:cstheme="minorHAnsi"/>
          <w:b/>
          <w:sz w:val="28"/>
          <w:szCs w:val="28"/>
        </w:rPr>
      </w:pPr>
      <w:r w:rsidRPr="00AD7BD7">
        <w:rPr>
          <w:b/>
          <w:color w:val="3C7090"/>
          <w:sz w:val="28"/>
        </w:rPr>
        <w:t>Department:</w:t>
      </w:r>
      <w:r w:rsidRPr="00AD7BD7">
        <w:rPr>
          <w:rFonts w:asciiTheme="minorHAnsi" w:hAnsiTheme="minorHAnsi" w:cstheme="minorHAnsi"/>
          <w:b/>
          <w:sz w:val="28"/>
          <w:szCs w:val="28"/>
        </w:rPr>
        <w:tab/>
      </w:r>
      <w:sdt>
        <w:sdtPr>
          <w:rPr>
            <w:rFonts w:asciiTheme="minorHAnsi" w:hAnsiTheme="minorHAnsi" w:cstheme="minorHAnsi"/>
            <w:b/>
            <w:sz w:val="28"/>
            <w:szCs w:val="28"/>
          </w:rPr>
          <w:alias w:val="Department"/>
          <w:tag w:val="Select Department From Dropdown"/>
          <w:id w:val="-1720580173"/>
          <w:placeholder>
            <w:docPart w:val="DBF2B69BE65041B69E7BCC2BD0DE251F"/>
          </w:placeholder>
          <w:comboBox>
            <w:listItem w:value="Choose an item."/>
            <w:listItem w:displayText="Corporate Leadership Team" w:value="Corporate Leadership Team"/>
            <w:listItem w:displayText="Corporate Services" w:value="Corporate Services"/>
            <w:listItem w:displayText="Infrastructure Services" w:value="Infrastructure Services"/>
            <w:listItem w:displayText="Office of the City Manager" w:value="Office of the City Manager"/>
            <w:listItem w:displayText="Office of the Mayor and Council" w:value="Office of the Mayor and Council"/>
            <w:listItem w:displayText="Senior Management Team" w:value="Senior Management Team"/>
            <w:listItem w:displayText="Community Services" w:value="Community Services"/>
            <w:listItem w:displayText="Planning and Growth" w:value="Planning and Growth"/>
            <w:listItem w:displayText="Customer and Financial Services" w:value="Customer and Financial Services"/>
          </w:comboBox>
        </w:sdtPr>
        <w:sdtEndPr/>
        <w:sdtContent>
          <w:r w:rsidR="00155047">
            <w:rPr>
              <w:rFonts w:asciiTheme="minorHAnsi" w:hAnsiTheme="minorHAnsi" w:cstheme="minorHAnsi"/>
              <w:b/>
              <w:sz w:val="28"/>
              <w:szCs w:val="28"/>
            </w:rPr>
            <w:t>Infrastructure Services</w:t>
          </w:r>
        </w:sdtContent>
      </w:sdt>
    </w:p>
    <w:p w14:paraId="5177E939" w14:textId="1DE82388" w:rsidR="00BC2A2B" w:rsidRPr="00AD7BD7" w:rsidRDefault="00BC2A2B" w:rsidP="00BC2A2B">
      <w:pPr>
        <w:tabs>
          <w:tab w:val="left" w:pos="2160"/>
          <w:tab w:val="left" w:pos="4680"/>
        </w:tabs>
        <w:rPr>
          <w:b/>
          <w:sz w:val="28"/>
          <w:szCs w:val="28"/>
          <w:lang w:val="en-CA"/>
        </w:rPr>
      </w:pPr>
      <w:r w:rsidRPr="00AD7BD7">
        <w:rPr>
          <w:b/>
          <w:color w:val="3C7090"/>
          <w:sz w:val="28"/>
        </w:rPr>
        <w:t>Division:</w:t>
      </w:r>
      <w:r w:rsidRPr="00AD7BD7">
        <w:rPr>
          <w:b/>
          <w:sz w:val="28"/>
          <w:szCs w:val="28"/>
          <w:lang w:val="en-CA"/>
        </w:rPr>
        <w:tab/>
      </w:r>
      <w:sdt>
        <w:sdtPr>
          <w:rPr>
            <w:rFonts w:asciiTheme="minorHAnsi" w:hAnsiTheme="minorHAnsi" w:cstheme="minorHAnsi"/>
            <w:b/>
            <w:sz w:val="28"/>
            <w:szCs w:val="28"/>
          </w:rPr>
          <w:alias w:val="Department"/>
          <w:tag w:val="Select Department From Dropdown"/>
          <w:id w:val="1866399140"/>
          <w:placeholder>
            <w:docPart w:val="E5B521C059714A41B3CA1BBC147E4221"/>
          </w:placeholder>
          <w:comboBox>
            <w:listItem w:value="Choose an item."/>
            <w:listItem w:displayText="Administration" w:value="Administration"/>
            <w:listItem w:displayText="Asset Management &amp; PMO" w:value="Asset Management &amp; PMO"/>
            <w:listItem w:displayText="Building" w:value="Building"/>
            <w:listItem w:displayText="By-law and Enforcement" w:value="By-law and Enforcement"/>
            <w:listItem w:displayText="Clerks" w:value="Clerks"/>
            <w:listItem w:displayText="Corporate Communications" w:value="Corporate Communications"/>
            <w:listItem w:displayText="Corporate Strategy" w:value="Corporate Strategy"/>
            <w:listItem w:displayText="Corporate Transformation &amp; Citizen Services" w:value="Corporate Transformation &amp; Citizen Services"/>
            <w:listItem w:displayText="Economic Development" w:value="Economic Development"/>
            <w:listItem w:displayText="Emergency Management" w:value="Emergency Management"/>
            <w:listItem w:displayText="Engineering &amp; Transportation" w:value="Engineering &amp; Transportation"/>
            <w:listItem w:displayText="Environmental Services" w:value="Environmental Services"/>
            <w:listItem w:displayText="Finance" w:value="Finance"/>
            <w:listItem w:displayText="Fire Services" w:value="Fire Services"/>
            <w:listItem w:displayText="Human Resources" w:value="Human Resources"/>
            <w:listItem w:displayText="Legal Services" w:value="Legal Services"/>
            <w:listItem w:displayText="Operations" w:value="Operations"/>
            <w:listItem w:displayText="Planning" w:value="Planning"/>
            <w:listItem w:displayText="Recreation, Arts and Culture" w:value="Recreation, Arts and Culture"/>
            <w:listItem w:displayText="Risk &amp; Compliance" w:value="Risk &amp; Compliance"/>
            <w:listItem w:displayText="Service Cambridge" w:value="Service Cambridge"/>
            <w:listItem w:displayText="Technology Services" w:value="Technology Services"/>
          </w:comboBox>
        </w:sdtPr>
        <w:sdtEndPr/>
        <w:sdtContent>
          <w:r w:rsidR="00155047">
            <w:rPr>
              <w:rFonts w:asciiTheme="minorHAnsi" w:hAnsiTheme="minorHAnsi" w:cstheme="minorHAnsi"/>
              <w:b/>
              <w:sz w:val="28"/>
              <w:szCs w:val="28"/>
            </w:rPr>
            <w:t>Environmental Services</w:t>
          </w:r>
        </w:sdtContent>
      </w:sdt>
    </w:p>
    <w:p w14:paraId="003B2041" w14:textId="24254913" w:rsidR="00BC2A2B" w:rsidRPr="00D4071B" w:rsidRDefault="00BC2A2B" w:rsidP="00155047">
      <w:pPr>
        <w:tabs>
          <w:tab w:val="left" w:pos="2160"/>
        </w:tabs>
        <w:ind w:left="1440" w:hanging="1440"/>
        <w:rPr>
          <w:rFonts w:asciiTheme="minorHAnsi" w:hAnsiTheme="minorHAnsi" w:cstheme="minorHAnsi"/>
          <w:b/>
          <w:sz w:val="28"/>
          <w:szCs w:val="28"/>
        </w:rPr>
      </w:pPr>
      <w:r>
        <w:rPr>
          <w:b/>
          <w:color w:val="3C7090"/>
          <w:sz w:val="28"/>
        </w:rPr>
        <w:t>From</w:t>
      </w:r>
      <w:r w:rsidRPr="00D4071B">
        <w:rPr>
          <w:b/>
          <w:color w:val="3C7090"/>
          <w:sz w:val="28"/>
        </w:rPr>
        <w:t>:</w:t>
      </w:r>
      <w:r w:rsidRPr="00D4071B">
        <w:rPr>
          <w:bCs/>
          <w:sz w:val="28"/>
        </w:rPr>
        <w:tab/>
      </w:r>
      <w:r w:rsidR="00155047">
        <w:rPr>
          <w:bCs/>
          <w:sz w:val="28"/>
        </w:rPr>
        <w:tab/>
      </w:r>
      <w:r w:rsidR="00155047">
        <w:rPr>
          <w:b/>
          <w:sz w:val="28"/>
          <w:szCs w:val="28"/>
        </w:rPr>
        <w:t xml:space="preserve">Jason Alexander, Manager of Wastewater; David </w:t>
      </w:r>
      <w:r w:rsidR="00155047">
        <w:rPr>
          <w:b/>
          <w:sz w:val="28"/>
          <w:szCs w:val="28"/>
        </w:rPr>
        <w:tab/>
        <w:t>Cattrysse, Utilities Compliance Technologist</w:t>
      </w:r>
    </w:p>
    <w:p w14:paraId="77510A58" w14:textId="3F413E3E" w:rsidR="00BC2A2B" w:rsidRPr="00AD7BD7" w:rsidRDefault="00BC2A2B" w:rsidP="00BC2A2B">
      <w:pPr>
        <w:tabs>
          <w:tab w:val="left" w:pos="2160"/>
        </w:tabs>
        <w:rPr>
          <w:rFonts w:asciiTheme="minorHAnsi" w:hAnsiTheme="minorHAnsi" w:cstheme="minorHAnsi"/>
          <w:b/>
          <w:color w:val="000000" w:themeColor="text1"/>
          <w:sz w:val="28"/>
          <w:szCs w:val="28"/>
        </w:rPr>
      </w:pPr>
      <w:r>
        <w:rPr>
          <w:b/>
          <w:color w:val="3C7090"/>
          <w:sz w:val="28"/>
        </w:rPr>
        <w:t>Subject</w:t>
      </w:r>
      <w:r w:rsidRPr="00AD7BD7">
        <w:rPr>
          <w:b/>
          <w:color w:val="3C7090"/>
          <w:sz w:val="28"/>
        </w:rPr>
        <w:t>:</w:t>
      </w:r>
      <w:r w:rsidRPr="00AD7BD7">
        <w:rPr>
          <w:rFonts w:asciiTheme="minorHAnsi" w:hAnsiTheme="minorHAnsi" w:cstheme="minorHAnsi"/>
          <w:b/>
          <w:color w:val="000000" w:themeColor="text1"/>
          <w:sz w:val="28"/>
          <w:szCs w:val="28"/>
        </w:rPr>
        <w:tab/>
      </w:r>
      <w:r w:rsidR="00155047">
        <w:rPr>
          <w:rFonts w:asciiTheme="minorHAnsi" w:hAnsiTheme="minorHAnsi" w:cstheme="minorHAnsi"/>
          <w:b/>
          <w:color w:val="000000" w:themeColor="text1"/>
          <w:sz w:val="28"/>
          <w:szCs w:val="28"/>
        </w:rPr>
        <w:t>2025 Wastewater System Performance Report</w:t>
      </w:r>
    </w:p>
    <w:p w14:paraId="307468F6" w14:textId="17A54492" w:rsidR="003833A9" w:rsidRPr="00BC2A2B" w:rsidRDefault="00623AAE" w:rsidP="00BC2A2B">
      <w:pPr>
        <w:pStyle w:val="Heading1"/>
      </w:pPr>
      <w:r>
        <w:t>Comments</w:t>
      </w:r>
    </w:p>
    <w:p w14:paraId="6EAB1079" w14:textId="77777777" w:rsidR="00155047" w:rsidRPr="00155047" w:rsidRDefault="00155047" w:rsidP="00155047">
      <w:pPr>
        <w:rPr>
          <w:b/>
          <w:lang w:val="en-CA"/>
        </w:rPr>
      </w:pPr>
      <w:r w:rsidRPr="00155047">
        <w:rPr>
          <w:b/>
          <w:lang w:val="en-CA"/>
        </w:rPr>
        <w:t>RECOMMENDATION(S):</w:t>
      </w:r>
    </w:p>
    <w:sdt>
      <w:sdtPr>
        <w:rPr>
          <w:bCs/>
        </w:rPr>
        <w:id w:val="-1494401704"/>
        <w:placeholder>
          <w:docPart w:val="22E367E005234C7AB8027EF7110645A7"/>
        </w:placeholder>
      </w:sdtPr>
      <w:sdtEndPr/>
      <w:sdtContent>
        <w:sdt>
          <w:sdtPr>
            <w:rPr>
              <w:bCs/>
            </w:rPr>
            <w:alias w:val="Recommendation"/>
            <w:tag w:val="eRecommendation"/>
            <w:id w:val="-468751389"/>
            <w:placeholder>
              <w:docPart w:val="2E0020D253EF4B82A592F4A01D70A8AE"/>
            </w:placeholder>
          </w:sdtPr>
          <w:sdtEndPr/>
          <w:sdtContent>
            <w:p w14:paraId="33A3E652" w14:textId="18012151" w:rsidR="00155047" w:rsidRPr="00155047" w:rsidRDefault="00155047" w:rsidP="00155047">
              <w:pPr>
                <w:rPr>
                  <w:bCs/>
                </w:rPr>
              </w:pPr>
              <w:r w:rsidRPr="00155047">
                <w:rPr>
                  <w:bCs/>
                </w:rPr>
                <w:t xml:space="preserve">THAT </w:t>
              </w:r>
              <w:r>
                <w:rPr>
                  <w:bCs/>
                </w:rPr>
                <w:t>IM</w:t>
              </w:r>
              <w:r w:rsidRPr="00155047">
                <w:rPr>
                  <w:bCs/>
                </w:rPr>
                <w:t>26-00</w:t>
              </w:r>
              <w:r>
                <w:rPr>
                  <w:bCs/>
                </w:rPr>
                <w:t>2</w:t>
              </w:r>
              <w:r w:rsidRPr="00155047">
                <w:rPr>
                  <w:bCs/>
                </w:rPr>
                <w:t>IFS 2025 Wastewater System Performance Report be received for information.</w:t>
              </w:r>
            </w:p>
          </w:sdtContent>
        </w:sdt>
      </w:sdtContent>
    </w:sdt>
    <w:p w14:paraId="31C7B513" w14:textId="77777777" w:rsidR="00155047" w:rsidRPr="00155047" w:rsidRDefault="00155047" w:rsidP="00155047">
      <w:pPr>
        <w:rPr>
          <w:b/>
          <w:lang w:val="en-CA"/>
        </w:rPr>
      </w:pPr>
      <w:r w:rsidRPr="00155047">
        <w:rPr>
          <w:b/>
          <w:lang w:val="en-CA"/>
        </w:rPr>
        <w:t>EXECUTIVE SUMMARY:</w:t>
      </w:r>
    </w:p>
    <w:p w14:paraId="557A7936" w14:textId="7DC7C27A" w:rsidR="00155047" w:rsidRPr="00913893" w:rsidRDefault="00155047" w:rsidP="00155047">
      <w:pPr>
        <w:rPr>
          <w:b/>
        </w:rPr>
      </w:pPr>
      <w:r w:rsidRPr="00913893">
        <w:rPr>
          <w:b/>
        </w:rPr>
        <w:t>Purpose</w:t>
      </w:r>
    </w:p>
    <w:p w14:paraId="5688E841" w14:textId="050CB095" w:rsidR="00155047" w:rsidRPr="00155047" w:rsidRDefault="00155047" w:rsidP="00155047">
      <w:pPr>
        <w:rPr>
          <w:bCs/>
          <w:lang w:val="en-CA"/>
        </w:rPr>
      </w:pPr>
      <w:r w:rsidRPr="00155047">
        <w:rPr>
          <w:bCs/>
          <w:lang w:val="en-CA"/>
        </w:rPr>
        <w:t>To provide the Ministry of the Environment, Conservation and Parks (MECP), and Council with an annual update on the status of the City of Cambridge’s (City’s) Wastewater Collection System</w:t>
      </w:r>
      <w:r w:rsidR="00D45C2D">
        <w:rPr>
          <w:bCs/>
          <w:lang w:val="en-CA"/>
        </w:rPr>
        <w:t>,</w:t>
      </w:r>
      <w:r w:rsidRPr="00155047">
        <w:rPr>
          <w:bCs/>
          <w:lang w:val="en-CA"/>
        </w:rPr>
        <w:t xml:space="preserve"> </w:t>
      </w:r>
      <w:r w:rsidR="00D45C2D" w:rsidRPr="00515048">
        <w:rPr>
          <w:bCs/>
        </w:rPr>
        <w:t>covering the period of January 1</w:t>
      </w:r>
      <w:r w:rsidR="00D45C2D" w:rsidRPr="00515048">
        <w:rPr>
          <w:bCs/>
          <w:vertAlign w:val="superscript"/>
        </w:rPr>
        <w:t>st</w:t>
      </w:r>
      <w:r w:rsidR="00D45C2D" w:rsidRPr="00515048">
        <w:rPr>
          <w:bCs/>
        </w:rPr>
        <w:t xml:space="preserve"> 2025 to December 31</w:t>
      </w:r>
      <w:r w:rsidR="00D45C2D" w:rsidRPr="00515048">
        <w:rPr>
          <w:bCs/>
          <w:vertAlign w:val="superscript"/>
        </w:rPr>
        <w:t>st</w:t>
      </w:r>
      <w:r w:rsidR="00D45C2D" w:rsidRPr="00515048">
        <w:rPr>
          <w:bCs/>
        </w:rPr>
        <w:t xml:space="preserve"> 2025</w:t>
      </w:r>
      <w:r w:rsidRPr="00155047">
        <w:rPr>
          <w:bCs/>
          <w:lang w:val="en-CA"/>
        </w:rPr>
        <w:t>, in compliance with the City’s Consolidated Linear Infrastructure Environmental Compliance Approval (CLI-ECA).</w:t>
      </w:r>
    </w:p>
    <w:p w14:paraId="5D42E512" w14:textId="77777777" w:rsidR="00155047" w:rsidRPr="00913893" w:rsidRDefault="00155047" w:rsidP="00155047">
      <w:pPr>
        <w:rPr>
          <w:b/>
        </w:rPr>
      </w:pPr>
      <w:r w:rsidRPr="00913893">
        <w:rPr>
          <w:b/>
        </w:rPr>
        <w:t>Key Findings</w:t>
      </w:r>
    </w:p>
    <w:p w14:paraId="6A5ACD1C" w14:textId="7E67EBBA" w:rsidR="00155047" w:rsidRPr="00155047" w:rsidRDefault="00155047" w:rsidP="00155047">
      <w:pPr>
        <w:rPr>
          <w:lang w:val="en-CA"/>
        </w:rPr>
      </w:pPr>
      <w:r w:rsidRPr="00155047">
        <w:rPr>
          <w:lang w:val="en-CA"/>
        </w:rPr>
        <w:t>System Description</w:t>
      </w:r>
    </w:p>
    <w:p w14:paraId="387BA8C1" w14:textId="77777777" w:rsidR="00155047" w:rsidRPr="00155047" w:rsidRDefault="00155047" w:rsidP="00155047">
      <w:pPr>
        <w:numPr>
          <w:ilvl w:val="0"/>
          <w:numId w:val="6"/>
        </w:numPr>
        <w:rPr>
          <w:lang w:val="en-CA"/>
        </w:rPr>
      </w:pPr>
      <w:r w:rsidRPr="00155047">
        <w:rPr>
          <w:lang w:val="en-CA"/>
        </w:rPr>
        <w:t>The City of Cambridge operates 19 pump stations, 566 km of sanitary pipe, 8,272 maintenance holes and 41,024 sanitary services in the Wastewater Collection System with a total replacement value of $866M.</w:t>
      </w:r>
    </w:p>
    <w:p w14:paraId="7FF177AA" w14:textId="77777777" w:rsidR="00155047" w:rsidRDefault="00155047" w:rsidP="00155047">
      <w:pPr>
        <w:ind w:left="720"/>
        <w:rPr>
          <w:lang w:val="en-CA"/>
        </w:rPr>
      </w:pPr>
    </w:p>
    <w:p w14:paraId="2183E01B" w14:textId="77777777" w:rsidR="00F23F0A" w:rsidRPr="00155047" w:rsidRDefault="00F23F0A" w:rsidP="00155047">
      <w:pPr>
        <w:ind w:left="720"/>
        <w:rPr>
          <w:lang w:val="en-CA"/>
        </w:rPr>
      </w:pPr>
    </w:p>
    <w:p w14:paraId="25738114" w14:textId="73CB2D76" w:rsidR="00155047" w:rsidRPr="00155047" w:rsidRDefault="00155047" w:rsidP="00155047">
      <w:pPr>
        <w:rPr>
          <w:lang w:val="en-CA"/>
        </w:rPr>
      </w:pPr>
      <w:r w:rsidRPr="00155047">
        <w:rPr>
          <w:lang w:val="en-CA"/>
        </w:rPr>
        <w:lastRenderedPageBreak/>
        <w:t>Monitoring Data</w:t>
      </w:r>
    </w:p>
    <w:p w14:paraId="5B2B9D87" w14:textId="77777777" w:rsidR="00155047" w:rsidRPr="00155047" w:rsidRDefault="00155047" w:rsidP="00155047">
      <w:pPr>
        <w:numPr>
          <w:ilvl w:val="0"/>
          <w:numId w:val="6"/>
        </w:numPr>
        <w:rPr>
          <w:b/>
          <w:bCs/>
          <w:lang w:val="en-CA"/>
        </w:rPr>
      </w:pPr>
      <w:r w:rsidRPr="00155047">
        <w:rPr>
          <w:bCs/>
          <w:lang w:val="en-CA"/>
        </w:rPr>
        <w:t xml:space="preserve">The Region of Waterloo, through the efforts of OCWA, treated </w:t>
      </w:r>
      <w:r w:rsidRPr="00155047">
        <w:rPr>
          <w:lang w:val="en-CA"/>
        </w:rPr>
        <w:t>15,409,918 m</w:t>
      </w:r>
      <w:r w:rsidRPr="00155047">
        <w:rPr>
          <w:vertAlign w:val="superscript"/>
          <w:lang w:val="en-CA"/>
        </w:rPr>
        <w:t>3</w:t>
      </w:r>
      <w:r w:rsidRPr="00155047">
        <w:rPr>
          <w:lang w:val="en-CA"/>
        </w:rPr>
        <w:t xml:space="preserve"> </w:t>
      </w:r>
      <w:r w:rsidRPr="00155047">
        <w:rPr>
          <w:bCs/>
          <w:lang w:val="en-CA"/>
        </w:rPr>
        <w:t xml:space="preserve">of sewage in 2025, down from </w:t>
      </w:r>
      <w:r w:rsidRPr="00155047">
        <w:rPr>
          <w:lang w:val="en-CA"/>
        </w:rPr>
        <w:t>15,761,105 m</w:t>
      </w:r>
      <w:r w:rsidRPr="00155047">
        <w:rPr>
          <w:vertAlign w:val="superscript"/>
          <w:lang w:val="en-CA"/>
        </w:rPr>
        <w:t>3</w:t>
      </w:r>
      <w:r w:rsidRPr="00155047">
        <w:rPr>
          <w:lang w:val="en-CA"/>
        </w:rPr>
        <w:t xml:space="preserve"> </w:t>
      </w:r>
      <w:r w:rsidRPr="00155047">
        <w:rPr>
          <w:bCs/>
          <w:lang w:val="en-CA"/>
        </w:rPr>
        <w:t>treated in 2024.</w:t>
      </w:r>
    </w:p>
    <w:p w14:paraId="334725E7" w14:textId="77777777" w:rsidR="00155047" w:rsidRPr="00155047" w:rsidRDefault="00155047" w:rsidP="00155047">
      <w:pPr>
        <w:numPr>
          <w:ilvl w:val="0"/>
          <w:numId w:val="6"/>
        </w:numPr>
        <w:rPr>
          <w:b/>
          <w:bCs/>
          <w:lang w:val="en-CA"/>
        </w:rPr>
      </w:pPr>
      <w:r w:rsidRPr="00155047">
        <w:rPr>
          <w:bCs/>
          <w:lang w:val="en-CA"/>
        </w:rPr>
        <w:t xml:space="preserve">Inflow and Infiltration was reduced from 16.2% in 2024, to 14.8% in 2025. </w:t>
      </w:r>
    </w:p>
    <w:p w14:paraId="4B85CAEF" w14:textId="77777777" w:rsidR="00155047" w:rsidRPr="00155047" w:rsidRDefault="00155047" w:rsidP="00155047">
      <w:pPr>
        <w:numPr>
          <w:ilvl w:val="0"/>
          <w:numId w:val="6"/>
        </w:numPr>
        <w:rPr>
          <w:b/>
          <w:bCs/>
          <w:lang w:val="en-CA"/>
        </w:rPr>
      </w:pPr>
      <w:r w:rsidRPr="00155047">
        <w:rPr>
          <w:bCs/>
          <w:lang w:val="en-CA"/>
        </w:rPr>
        <w:t>The City received and investigated 1,872 pump station alarm notifications of varying severity in 2025, up from 1,128 alarms in 2024.</w:t>
      </w:r>
    </w:p>
    <w:p w14:paraId="66C71F9E" w14:textId="77777777" w:rsidR="00155047" w:rsidRPr="00155047" w:rsidRDefault="00155047" w:rsidP="00155047">
      <w:pPr>
        <w:numPr>
          <w:ilvl w:val="0"/>
          <w:numId w:val="6"/>
        </w:numPr>
        <w:rPr>
          <w:bCs/>
          <w:lang w:val="en-CA"/>
        </w:rPr>
      </w:pPr>
      <w:r w:rsidRPr="00155047">
        <w:rPr>
          <w:bCs/>
          <w:lang w:val="en-CA"/>
        </w:rPr>
        <w:t>Additional reporting for the retired Newton Landfill can be found in Appendix A: 2025 Newton Landfill Sampling Report.</w:t>
      </w:r>
    </w:p>
    <w:p w14:paraId="0014E6B7" w14:textId="6D88A67F" w:rsidR="00155047" w:rsidRPr="00155047" w:rsidRDefault="00155047" w:rsidP="00155047">
      <w:pPr>
        <w:rPr>
          <w:lang w:val="en-CA"/>
        </w:rPr>
      </w:pPr>
      <w:r w:rsidRPr="00155047">
        <w:rPr>
          <w:lang w:val="en-CA"/>
        </w:rPr>
        <w:t>Operational Problems and Corrective Actions</w:t>
      </w:r>
    </w:p>
    <w:p w14:paraId="3CE3A6B0" w14:textId="0DB979B8" w:rsidR="00155047" w:rsidRPr="00155047" w:rsidRDefault="00155047" w:rsidP="00155047">
      <w:pPr>
        <w:numPr>
          <w:ilvl w:val="0"/>
          <w:numId w:val="6"/>
        </w:numPr>
        <w:rPr>
          <w:bCs/>
          <w:lang w:val="en-CA"/>
        </w:rPr>
      </w:pPr>
      <w:r w:rsidRPr="00155047">
        <w:rPr>
          <w:bCs/>
          <w:lang w:val="en-CA"/>
        </w:rPr>
        <w:t>8 wastewater main blockages occurred in 2025, with 3 (38%) blockages discovered though proactive grid checks. In comparison, 15 blockages occurred in 2024, with 6 (40%) discovered through grid checks.</w:t>
      </w:r>
    </w:p>
    <w:p w14:paraId="047E8E3A" w14:textId="77777777" w:rsidR="00155047" w:rsidRPr="00155047" w:rsidRDefault="00155047" w:rsidP="00155047">
      <w:pPr>
        <w:numPr>
          <w:ilvl w:val="0"/>
          <w:numId w:val="6"/>
        </w:numPr>
        <w:rPr>
          <w:bCs/>
          <w:lang w:val="en-CA"/>
        </w:rPr>
      </w:pPr>
      <w:r w:rsidRPr="00155047">
        <w:rPr>
          <w:bCs/>
          <w:lang w:val="en-CA"/>
        </w:rPr>
        <w:t>22</w:t>
      </w:r>
      <w:r w:rsidRPr="00155047">
        <w:rPr>
          <w:lang w:val="en-CA"/>
        </w:rPr>
        <w:t xml:space="preserve"> loss of power alarms at pump stations in 2025, up from 9 in 2024, with the longest outage recorded at 1h12m.</w:t>
      </w:r>
    </w:p>
    <w:p w14:paraId="0622F17C" w14:textId="77777777" w:rsidR="00155047" w:rsidRPr="00155047" w:rsidRDefault="00155047" w:rsidP="00155047">
      <w:pPr>
        <w:numPr>
          <w:ilvl w:val="0"/>
          <w:numId w:val="6"/>
        </w:numPr>
        <w:rPr>
          <w:bCs/>
          <w:lang w:val="en-CA"/>
        </w:rPr>
      </w:pPr>
      <w:r w:rsidRPr="00155047">
        <w:rPr>
          <w:bCs/>
          <w:lang w:val="en-CA"/>
        </w:rPr>
        <w:t>88 pump faults/failure events occurred at pump stations in 2025, with 3 (4%) of these events requiring reactive maintenance.</w:t>
      </w:r>
    </w:p>
    <w:p w14:paraId="0596CE2F" w14:textId="77777777" w:rsidR="00155047" w:rsidRPr="00155047" w:rsidRDefault="00155047" w:rsidP="00155047">
      <w:pPr>
        <w:numPr>
          <w:ilvl w:val="0"/>
          <w:numId w:val="6"/>
        </w:numPr>
        <w:rPr>
          <w:bCs/>
          <w:lang w:val="en-CA"/>
        </w:rPr>
      </w:pPr>
      <w:r w:rsidRPr="00155047">
        <w:rPr>
          <w:bCs/>
          <w:lang w:val="en-CA"/>
        </w:rPr>
        <w:t>A Wastewater Quality Management System Audit was performed in April 2025 yielding 0 non-conformances, 5 opportunities for improvement, and four 1 staff suggested opportunities for improvement.</w:t>
      </w:r>
    </w:p>
    <w:p w14:paraId="05709408" w14:textId="1F7F47D6" w:rsidR="00155047" w:rsidRPr="00155047" w:rsidRDefault="00155047" w:rsidP="00155047">
      <w:pPr>
        <w:rPr>
          <w:lang w:val="en-CA"/>
        </w:rPr>
      </w:pPr>
      <w:r w:rsidRPr="00155047">
        <w:rPr>
          <w:lang w:val="en-CA"/>
        </w:rPr>
        <w:t>Preventative Maintenance</w:t>
      </w:r>
    </w:p>
    <w:p w14:paraId="4AEB97CD" w14:textId="77777777" w:rsidR="00155047" w:rsidRPr="00155047" w:rsidRDefault="00155047" w:rsidP="00155047">
      <w:pPr>
        <w:numPr>
          <w:ilvl w:val="0"/>
          <w:numId w:val="6"/>
        </w:numPr>
        <w:rPr>
          <w:bCs/>
          <w:lang w:val="en-CA"/>
        </w:rPr>
      </w:pPr>
      <w:r w:rsidRPr="00155047">
        <w:rPr>
          <w:bCs/>
          <w:lang w:val="en-CA"/>
        </w:rPr>
        <w:t>92 km (14.1%) of sanitary main was flushed in 2025, down from 147km (23.6%) in 2024.</w:t>
      </w:r>
    </w:p>
    <w:p w14:paraId="4B2B6359" w14:textId="77777777" w:rsidR="00155047" w:rsidRPr="00155047" w:rsidRDefault="00155047" w:rsidP="00155047">
      <w:pPr>
        <w:numPr>
          <w:ilvl w:val="0"/>
          <w:numId w:val="6"/>
        </w:numPr>
        <w:rPr>
          <w:bCs/>
          <w:lang w:val="en-CA"/>
        </w:rPr>
      </w:pPr>
      <w:r w:rsidRPr="00155047">
        <w:rPr>
          <w:bCs/>
          <w:lang w:val="en-CA"/>
        </w:rPr>
        <w:t>4,910 (59%) maintenance holes were inspected, down from 6,298 (76%) in 2024.</w:t>
      </w:r>
    </w:p>
    <w:p w14:paraId="5A8F18EF" w14:textId="77777777" w:rsidR="00155047" w:rsidRPr="00155047" w:rsidRDefault="00155047" w:rsidP="00155047">
      <w:pPr>
        <w:numPr>
          <w:ilvl w:val="0"/>
          <w:numId w:val="6"/>
        </w:numPr>
        <w:rPr>
          <w:bCs/>
          <w:lang w:val="en-CA"/>
        </w:rPr>
      </w:pPr>
      <w:r w:rsidRPr="00155047">
        <w:rPr>
          <w:bCs/>
          <w:lang w:val="en-CA"/>
        </w:rPr>
        <w:t>543 sanitary mains (29.5 km) were inspected by CCTV video inspection in 2025, down from 773 pipes (41.5 km) in 2024. 93% of the Wastewater Collection System has now been completed by video inspection.</w:t>
      </w:r>
    </w:p>
    <w:p w14:paraId="3EBC6D3B" w14:textId="77777777" w:rsidR="00155047" w:rsidRPr="00155047" w:rsidRDefault="00155047" w:rsidP="00155047">
      <w:pPr>
        <w:numPr>
          <w:ilvl w:val="0"/>
          <w:numId w:val="6"/>
        </w:numPr>
        <w:rPr>
          <w:bCs/>
          <w:lang w:val="en-CA"/>
        </w:rPr>
      </w:pPr>
      <w:r w:rsidRPr="00155047">
        <w:rPr>
          <w:bCs/>
          <w:lang w:val="en-CA"/>
        </w:rPr>
        <w:t>7 sanitary main repairs were completed in 2025, compared to 9 in 2024.</w:t>
      </w:r>
    </w:p>
    <w:p w14:paraId="5DB73331" w14:textId="70F394DC" w:rsidR="00155047" w:rsidRPr="00155047" w:rsidRDefault="00155047" w:rsidP="00155047">
      <w:pPr>
        <w:rPr>
          <w:lang w:val="en-CA"/>
        </w:rPr>
      </w:pPr>
      <w:r w:rsidRPr="00155047">
        <w:rPr>
          <w:lang w:val="en-CA"/>
        </w:rPr>
        <w:t>Customer Feedback</w:t>
      </w:r>
    </w:p>
    <w:p w14:paraId="5833D8EF" w14:textId="77777777" w:rsidR="00155047" w:rsidRPr="00155047" w:rsidRDefault="00155047" w:rsidP="00155047">
      <w:pPr>
        <w:numPr>
          <w:ilvl w:val="0"/>
          <w:numId w:val="6"/>
        </w:numPr>
        <w:rPr>
          <w:bCs/>
          <w:lang w:val="en-CA"/>
        </w:rPr>
      </w:pPr>
      <w:r w:rsidRPr="00155047">
        <w:rPr>
          <w:bCs/>
          <w:lang w:val="en-CA"/>
        </w:rPr>
        <w:t>208 sanitary service blockage investigations in 2025, compared to 204 investigations in 2024.</w:t>
      </w:r>
    </w:p>
    <w:p w14:paraId="58162582" w14:textId="77777777" w:rsidR="00155047" w:rsidRPr="00155047" w:rsidRDefault="00155047" w:rsidP="00155047">
      <w:pPr>
        <w:numPr>
          <w:ilvl w:val="0"/>
          <w:numId w:val="6"/>
        </w:numPr>
        <w:rPr>
          <w:b/>
          <w:bCs/>
          <w:lang w:val="en-CA"/>
        </w:rPr>
      </w:pPr>
      <w:r w:rsidRPr="00155047">
        <w:rPr>
          <w:bCs/>
          <w:lang w:val="en-CA"/>
        </w:rPr>
        <w:lastRenderedPageBreak/>
        <w:t>25 sanitary service repairs were made in 2025, 19 by Environmental Services staff and 6 by third-party contractor.</w:t>
      </w:r>
    </w:p>
    <w:p w14:paraId="64A9E083" w14:textId="77777777" w:rsidR="00155047" w:rsidRPr="00155047" w:rsidRDefault="00155047" w:rsidP="00155047">
      <w:pPr>
        <w:numPr>
          <w:ilvl w:val="0"/>
          <w:numId w:val="6"/>
        </w:numPr>
        <w:rPr>
          <w:b/>
          <w:bCs/>
          <w:lang w:val="en-CA"/>
        </w:rPr>
      </w:pPr>
      <w:r w:rsidRPr="00155047">
        <w:rPr>
          <w:bCs/>
          <w:lang w:val="en-CA"/>
        </w:rPr>
        <w:t>21 sanitary odour complaints were investigated, with 1 requiring remedial action.</w:t>
      </w:r>
    </w:p>
    <w:p w14:paraId="0878F983" w14:textId="1723C0D1" w:rsidR="00155047" w:rsidRPr="00155047" w:rsidRDefault="00155047" w:rsidP="00C111E4">
      <w:pPr>
        <w:numPr>
          <w:ilvl w:val="0"/>
          <w:numId w:val="6"/>
        </w:numPr>
        <w:rPr>
          <w:b/>
          <w:bCs/>
          <w:lang w:val="en-CA"/>
        </w:rPr>
      </w:pPr>
      <w:r w:rsidRPr="00155047">
        <w:rPr>
          <w:bCs/>
          <w:lang w:val="en-CA"/>
        </w:rPr>
        <w:t>8 sewer surcharge rebates were issued, saving commercial customers over $52,000.</w:t>
      </w:r>
    </w:p>
    <w:p w14:paraId="2408D2D6" w14:textId="51A8BD3C" w:rsidR="00155047" w:rsidRPr="00155047" w:rsidRDefault="00155047" w:rsidP="00155047">
      <w:pPr>
        <w:rPr>
          <w:lang w:val="en-CA"/>
        </w:rPr>
      </w:pPr>
      <w:r w:rsidRPr="00155047">
        <w:rPr>
          <w:lang w:val="en-CA"/>
        </w:rPr>
        <w:t>System Alterations</w:t>
      </w:r>
    </w:p>
    <w:p w14:paraId="018D10B8" w14:textId="77777777" w:rsidR="00155047" w:rsidRPr="00155047" w:rsidRDefault="00155047" w:rsidP="00155047">
      <w:pPr>
        <w:numPr>
          <w:ilvl w:val="0"/>
          <w:numId w:val="6"/>
        </w:numPr>
        <w:rPr>
          <w:b/>
          <w:bCs/>
          <w:lang w:val="en-CA"/>
        </w:rPr>
      </w:pPr>
      <w:r w:rsidRPr="00155047">
        <w:rPr>
          <w:bCs/>
          <w:lang w:val="en-CA"/>
        </w:rPr>
        <w:t>8 modifications to the wastewater system were approved through the City’s CLI-ECA process.</w:t>
      </w:r>
    </w:p>
    <w:p w14:paraId="1BC7266E" w14:textId="77777777" w:rsidR="00155047" w:rsidRPr="00155047" w:rsidRDefault="00155047" w:rsidP="00155047">
      <w:pPr>
        <w:numPr>
          <w:ilvl w:val="0"/>
          <w:numId w:val="6"/>
        </w:numPr>
        <w:rPr>
          <w:bCs/>
          <w:lang w:val="en-CA"/>
        </w:rPr>
      </w:pPr>
      <w:r w:rsidRPr="00155047">
        <w:rPr>
          <w:bCs/>
          <w:lang w:val="en-CA"/>
        </w:rPr>
        <w:t>1.6 km of new sanitary pipe installed, 3.9 km of pipe replaced in 2025.</w:t>
      </w:r>
    </w:p>
    <w:p w14:paraId="421A1DA8" w14:textId="51708030" w:rsidR="00155047" w:rsidRPr="00155047" w:rsidRDefault="00155047" w:rsidP="00155047">
      <w:pPr>
        <w:rPr>
          <w:lang w:val="en-CA"/>
        </w:rPr>
      </w:pPr>
      <w:r w:rsidRPr="00155047">
        <w:rPr>
          <w:lang w:val="en-CA"/>
        </w:rPr>
        <w:t>Spills</w:t>
      </w:r>
    </w:p>
    <w:p w14:paraId="7EF0973F" w14:textId="77777777" w:rsidR="00155047" w:rsidRPr="00155047" w:rsidRDefault="00155047" w:rsidP="00155047">
      <w:pPr>
        <w:numPr>
          <w:ilvl w:val="0"/>
          <w:numId w:val="6"/>
        </w:numPr>
        <w:rPr>
          <w:bCs/>
          <w:lang w:val="en-CA"/>
        </w:rPr>
      </w:pPr>
      <w:r w:rsidRPr="00155047">
        <w:rPr>
          <w:bCs/>
          <w:lang w:val="en-CA"/>
        </w:rPr>
        <w:t>49 environmental spills were responded to in 2025 costing $21,079 in City staffing and equipment. $8,474 (40%) of expenditures recuperated from culpable parties.</w:t>
      </w:r>
    </w:p>
    <w:p w14:paraId="6EE752E8" w14:textId="77777777" w:rsidR="00155047" w:rsidRDefault="00155047" w:rsidP="00155047">
      <w:pPr>
        <w:numPr>
          <w:ilvl w:val="0"/>
          <w:numId w:val="6"/>
        </w:numPr>
        <w:rPr>
          <w:bCs/>
          <w:lang w:val="en-CA"/>
        </w:rPr>
      </w:pPr>
      <w:r w:rsidRPr="00155047">
        <w:rPr>
          <w:bCs/>
          <w:lang w:val="en-CA"/>
        </w:rPr>
        <w:t>Sewage overflow accounted for 4 spills in 2025.</w:t>
      </w:r>
    </w:p>
    <w:p w14:paraId="652F18CA" w14:textId="77777777" w:rsidR="00975250" w:rsidRPr="00975250" w:rsidRDefault="00975250" w:rsidP="00975250">
      <w:pPr>
        <w:rPr>
          <w:b/>
          <w:bCs/>
          <w:szCs w:val="24"/>
        </w:rPr>
      </w:pPr>
      <w:r w:rsidRPr="00975250">
        <w:rPr>
          <w:b/>
          <w:bCs/>
          <w:szCs w:val="24"/>
        </w:rPr>
        <w:t>BACKGROUND:</w:t>
      </w:r>
    </w:p>
    <w:p w14:paraId="5AD6F87D" w14:textId="213BF4F4" w:rsidR="00975250" w:rsidRPr="00BD7B8F" w:rsidRDefault="00975250" w:rsidP="00975250">
      <w:pPr>
        <w:rPr>
          <w:rFonts w:eastAsia="Arial"/>
          <w:b/>
          <w:szCs w:val="24"/>
        </w:rPr>
      </w:pPr>
      <w:r w:rsidRPr="00BD7B8F">
        <w:rPr>
          <w:rFonts w:eastAsia="Arial"/>
          <w:szCs w:val="24"/>
        </w:rPr>
        <w:t>The City’s Wastewater CLI-ECA</w:t>
      </w:r>
      <w:r w:rsidR="00290ABB">
        <w:rPr>
          <w:rFonts w:eastAsia="Arial"/>
          <w:szCs w:val="24"/>
        </w:rPr>
        <w:t xml:space="preserve"> (015-W701)</w:t>
      </w:r>
      <w:r w:rsidRPr="00BD7B8F">
        <w:rPr>
          <w:rFonts w:eastAsia="Arial"/>
          <w:szCs w:val="24"/>
        </w:rPr>
        <w:t xml:space="preserve"> was placed into effect on September 29, 2022. Starting with the 2023 calendar year, the City shall prepare an Annual Performance Report for the MECP which includes a summary of required monitoring data, </w:t>
      </w:r>
      <w:r>
        <w:rPr>
          <w:rFonts w:eastAsia="Arial"/>
          <w:szCs w:val="24"/>
        </w:rPr>
        <w:t>operational problems</w:t>
      </w:r>
      <w:r w:rsidRPr="00BD7B8F">
        <w:rPr>
          <w:rFonts w:eastAsia="Arial"/>
          <w:szCs w:val="24"/>
        </w:rPr>
        <w:t>/corrective actions, maintenance</w:t>
      </w:r>
      <w:r>
        <w:rPr>
          <w:rFonts w:eastAsia="Arial"/>
          <w:szCs w:val="24"/>
        </w:rPr>
        <w:t>/</w:t>
      </w:r>
      <w:r w:rsidRPr="00BD7B8F">
        <w:rPr>
          <w:rFonts w:eastAsia="Arial"/>
          <w:szCs w:val="24"/>
        </w:rPr>
        <w:t xml:space="preserve">repairs, customer feedback, system alterations, and spills. </w:t>
      </w:r>
      <w:r w:rsidR="00D45C2D" w:rsidRPr="00D45C2D">
        <w:rPr>
          <w:rFonts w:eastAsia="Arial"/>
          <w:szCs w:val="24"/>
        </w:rPr>
        <w:t>This report is to be made available to the public by no later than June 1 of the calendar year.</w:t>
      </w:r>
    </w:p>
    <w:p w14:paraId="0407BDF6" w14:textId="15D6C79C" w:rsidR="00975250" w:rsidRPr="00BD7B8F" w:rsidRDefault="00975250" w:rsidP="00975250">
      <w:pPr>
        <w:rPr>
          <w:rFonts w:eastAsia="Arial"/>
          <w:b/>
          <w:szCs w:val="24"/>
        </w:rPr>
      </w:pPr>
      <w:r w:rsidRPr="00BD7B8F">
        <w:rPr>
          <w:rFonts w:eastAsia="Arial"/>
          <w:szCs w:val="24"/>
        </w:rPr>
        <w:t>The City’s Wastewater Quality Management System (WWQMS) was placed into effect on October 22, 2023. The WWQMS is based off the Drinking Water Quality Management Standard (DWQMS) and re</w:t>
      </w:r>
      <w:r>
        <w:rPr>
          <w:rFonts w:eastAsia="Arial"/>
          <w:szCs w:val="24"/>
        </w:rPr>
        <w:t>commends</w:t>
      </w:r>
      <w:r w:rsidRPr="00BD7B8F">
        <w:rPr>
          <w:rFonts w:eastAsia="Arial"/>
          <w:szCs w:val="24"/>
        </w:rPr>
        <w:t xml:space="preserve"> annual reporting of the continuing suitability, adequacy, and effectiveness of the WWQMS to Council to encourage transparency, as well as support informed decision making in relation to all matters concerning the wastewater collection system.</w:t>
      </w:r>
    </w:p>
    <w:p w14:paraId="281BA471" w14:textId="78C10DD1" w:rsidR="00975250" w:rsidRPr="005F14B5" w:rsidRDefault="00975250" w:rsidP="00975250">
      <w:pPr>
        <w:rPr>
          <w:rFonts w:eastAsia="Arial"/>
          <w:b/>
          <w:szCs w:val="24"/>
        </w:rPr>
      </w:pPr>
      <w:r w:rsidRPr="00BD7B8F">
        <w:rPr>
          <w:rFonts w:eastAsia="Arial"/>
          <w:szCs w:val="24"/>
        </w:rPr>
        <w:t>The City’s Wastewater Annual Performance Report both complies with the City’s CLI-ECA requirements and conforms with the City’s WWQMS system processes.</w:t>
      </w:r>
    </w:p>
    <w:p w14:paraId="3CDA11BE" w14:textId="77777777" w:rsidR="00975250" w:rsidRPr="00975250" w:rsidRDefault="00975250" w:rsidP="00975250">
      <w:pPr>
        <w:rPr>
          <w:b/>
          <w:bCs/>
          <w:szCs w:val="24"/>
        </w:rPr>
      </w:pPr>
      <w:r w:rsidRPr="00975250">
        <w:rPr>
          <w:b/>
          <w:bCs/>
          <w:szCs w:val="24"/>
        </w:rPr>
        <w:t>ANALYSIS:</w:t>
      </w:r>
    </w:p>
    <w:p w14:paraId="14E77B12" w14:textId="39FBA8A6" w:rsidR="00975250" w:rsidRPr="009E5CCD" w:rsidRDefault="00975250" w:rsidP="00975250">
      <w:pPr>
        <w:rPr>
          <w:b/>
          <w:bCs/>
        </w:rPr>
      </w:pPr>
      <w:r w:rsidRPr="009E5CCD">
        <w:rPr>
          <w:b/>
          <w:bCs/>
        </w:rPr>
        <w:t>System Description</w:t>
      </w:r>
    </w:p>
    <w:p w14:paraId="0F691B3D" w14:textId="56078B0D" w:rsidR="00975250" w:rsidRPr="00301F9C" w:rsidRDefault="00975250" w:rsidP="00975250">
      <w:pPr>
        <w:rPr>
          <w:b/>
        </w:rPr>
      </w:pPr>
      <w:r w:rsidRPr="00301F9C">
        <w:rPr>
          <w:bCs/>
        </w:rPr>
        <w:t xml:space="preserve">The City of Cambridge Wastewater Collection System is primarily a gravity-based system comprised of 19 </w:t>
      </w:r>
      <w:r>
        <w:rPr>
          <w:bCs/>
        </w:rPr>
        <w:t>pump station</w:t>
      </w:r>
      <w:r w:rsidRPr="00301F9C">
        <w:rPr>
          <w:bCs/>
        </w:rPr>
        <w:t xml:space="preserve">s equipped with approximately 16.5 km of force mains </w:t>
      </w:r>
      <w:r w:rsidRPr="00301F9C">
        <w:rPr>
          <w:bCs/>
        </w:rPr>
        <w:lastRenderedPageBreak/>
        <w:t>discharging to 4 geographically separate treatment facilities run by the Ontario Clean Water Agency (OCWA) on behalf of the Region of Waterloo.</w:t>
      </w:r>
      <w:r w:rsidRPr="00301F9C">
        <w:t xml:space="preserve"> Environmental Services </w:t>
      </w:r>
      <w:r w:rsidR="00F23F0A">
        <w:t xml:space="preserve">maintains and operates the Wastewater Collection System as the Operating Authority via 40.08 Full-Time Equivalents (FTE). </w:t>
      </w:r>
      <w:r w:rsidRPr="00301F9C">
        <w:t>Operational staff currently operate the Wastewater Collection System as well as assist with some Stormwater Management duties.</w:t>
      </w:r>
    </w:p>
    <w:p w14:paraId="4E46A164" w14:textId="77777777" w:rsidR="00975250" w:rsidRDefault="00975250" w:rsidP="00975250">
      <w:pPr>
        <w:rPr>
          <w:b/>
        </w:rPr>
      </w:pPr>
      <w:r w:rsidRPr="00976C71">
        <w:rPr>
          <w:bCs/>
        </w:rPr>
        <w:t>Within the wastewater collection system there is roughly</w:t>
      </w:r>
      <w:r w:rsidRPr="00976C71">
        <w:t xml:space="preserve"> 566 km of sanitary pipe, including approximately 563 km of City owned pipe and 3 km of pipe owned by the Region of Waterloo. The City maintains and operates all sanitary pipe within the city. There are 8,272 </w:t>
      </w:r>
      <w:r>
        <w:t>maintenance hole</w:t>
      </w:r>
      <w:r w:rsidRPr="00976C71">
        <w:t>s which allow environmental service employees access to the collection system, 8 siphons which aid wastewater flow in topographically challenging areas, and approximately 41,024 commercial and residential service connections. The total asset replacement value of the wastewater collection system is approximately $866M.</w:t>
      </w:r>
    </w:p>
    <w:p w14:paraId="303AFDBE" w14:textId="622532F2" w:rsidR="00975250" w:rsidRPr="00975250" w:rsidRDefault="00975250" w:rsidP="00975250">
      <w:pPr>
        <w:rPr>
          <w:bCs/>
        </w:rPr>
      </w:pPr>
      <w:r w:rsidRPr="00975250">
        <w:rPr>
          <w:bCs/>
        </w:rPr>
        <w:t xml:space="preserve">The following charts identify the overall age and material types currently found in the Wastewater Collection System. </w:t>
      </w:r>
      <w:r w:rsidRPr="00975250">
        <w:rPr>
          <w:b/>
        </w:rPr>
        <w:t>Figure 1</w:t>
      </w:r>
      <w:r w:rsidRPr="00975250">
        <w:rPr>
          <w:bCs/>
        </w:rPr>
        <w:t xml:space="preserve"> indicates the majority of wastewater pipe in the system was installed after 1970, with over a third (37%) of the system installed within the last 25 years. </w:t>
      </w:r>
      <w:r w:rsidRPr="00975250">
        <w:rPr>
          <w:b/>
        </w:rPr>
        <w:t>Figure 2</w:t>
      </w:r>
      <w:r w:rsidRPr="00975250">
        <w:rPr>
          <w:bCs/>
        </w:rPr>
        <w:t xml:space="preserve"> indicates that plastic pipe (55%) is the predominant pipe material in the Wastewater Collection System, while a combination of vitrified clay, concrete, and asbestos cement (42%) accounts for the majority of the remaining material. Over the past decade the City has shifted towards more plastic pipes during Wastewater Collection System expansion. As a result, roughly 80% of system growth and rehabilitation over that timeframe consist of plastic pipe.</w:t>
      </w:r>
    </w:p>
    <w:p w14:paraId="4FAFC582" w14:textId="77777777" w:rsidR="00975250" w:rsidRPr="00975250" w:rsidRDefault="00975250" w:rsidP="00975250">
      <w:pPr>
        <w:jc w:val="center"/>
        <w:rPr>
          <w:b/>
          <w:bCs/>
        </w:rPr>
      </w:pPr>
      <w:r w:rsidRPr="00975250">
        <w:rPr>
          <w:b/>
          <w:bCs/>
        </w:rPr>
        <w:t>Figure 1 – Wastewater Pipe Material</w:t>
      </w:r>
    </w:p>
    <w:p w14:paraId="2538E698" w14:textId="77777777" w:rsidR="00975250" w:rsidRDefault="00975250" w:rsidP="00975250">
      <w:pPr>
        <w:rPr>
          <w:b/>
          <w:bCs/>
        </w:rPr>
      </w:pPr>
      <w:r>
        <w:rPr>
          <w:b/>
          <w:bCs/>
          <w:noProof/>
        </w:rPr>
        <w:drawing>
          <wp:inline distT="0" distB="0" distL="0" distR="0" wp14:anchorId="75BA75B9" wp14:editId="0EBC80F0">
            <wp:extent cx="5943600" cy="2632075"/>
            <wp:effectExtent l="0" t="0" r="0" b="0"/>
            <wp:docPr id="1213774566" name="Picture 1" descr="Pie graph with wastewater pipe materials used in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4566" name="Picture 1" descr="Pie graph with wastewater pipe materials used in City"/>
                    <pic:cNvPicPr/>
                  </pic:nvPicPr>
                  <pic:blipFill>
                    <a:blip r:embed="rId11">
                      <a:extLst>
                        <a:ext uri="{28A0092B-C50C-407E-A947-70E740481C1C}">
                          <a14:useLocalDpi xmlns:a14="http://schemas.microsoft.com/office/drawing/2010/main" val="0"/>
                        </a:ext>
                      </a:extLst>
                    </a:blip>
                    <a:stretch>
                      <a:fillRect/>
                    </a:stretch>
                  </pic:blipFill>
                  <pic:spPr>
                    <a:xfrm>
                      <a:off x="0" y="0"/>
                      <a:ext cx="5943600" cy="2632075"/>
                    </a:xfrm>
                    <a:prstGeom prst="rect">
                      <a:avLst/>
                    </a:prstGeom>
                  </pic:spPr>
                </pic:pic>
              </a:graphicData>
            </a:graphic>
          </wp:inline>
        </w:drawing>
      </w:r>
    </w:p>
    <w:p w14:paraId="12F30AF2" w14:textId="77777777" w:rsidR="00975250" w:rsidRDefault="00975250" w:rsidP="00975250">
      <w:pPr>
        <w:rPr>
          <w:b/>
        </w:rPr>
      </w:pPr>
    </w:p>
    <w:p w14:paraId="0259C6CB" w14:textId="77777777" w:rsidR="00975250" w:rsidRDefault="00975250" w:rsidP="00975250">
      <w:pPr>
        <w:jc w:val="center"/>
        <w:rPr>
          <w:bCs/>
        </w:rPr>
      </w:pPr>
    </w:p>
    <w:p w14:paraId="10F7A276" w14:textId="1A6A7D68" w:rsidR="00975250" w:rsidRPr="00975250" w:rsidRDefault="00975250" w:rsidP="00975250">
      <w:pPr>
        <w:jc w:val="center"/>
        <w:rPr>
          <w:b/>
        </w:rPr>
      </w:pPr>
      <w:r w:rsidRPr="00975250">
        <w:rPr>
          <w:b/>
        </w:rPr>
        <w:lastRenderedPageBreak/>
        <w:t>Figure 2 – Wastewater System Age</w:t>
      </w:r>
    </w:p>
    <w:p w14:paraId="0720335B" w14:textId="77777777" w:rsidR="00975250" w:rsidRPr="00976C71" w:rsidRDefault="00975250" w:rsidP="00975250">
      <w:pPr>
        <w:rPr>
          <w:b/>
        </w:rPr>
      </w:pPr>
      <w:r>
        <w:rPr>
          <w:b/>
          <w:noProof/>
        </w:rPr>
        <w:drawing>
          <wp:inline distT="0" distB="0" distL="0" distR="0" wp14:anchorId="66418A08" wp14:editId="607DBC91">
            <wp:extent cx="5940748" cy="1913369"/>
            <wp:effectExtent l="0" t="0" r="3175" b="0"/>
            <wp:docPr id="1368800082" name="Picture 2" descr="bar graph with wastewater system age by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00082" name="Picture 2" descr="bar graph with wastewater system age by year."/>
                    <pic:cNvPicPr/>
                  </pic:nvPicPr>
                  <pic:blipFill>
                    <a:blip r:embed="rId12">
                      <a:extLst>
                        <a:ext uri="{28A0092B-C50C-407E-A947-70E740481C1C}">
                          <a14:useLocalDpi xmlns:a14="http://schemas.microsoft.com/office/drawing/2010/main" val="0"/>
                        </a:ext>
                      </a:extLst>
                    </a:blip>
                    <a:stretch>
                      <a:fillRect/>
                    </a:stretch>
                  </pic:blipFill>
                  <pic:spPr>
                    <a:xfrm>
                      <a:off x="0" y="0"/>
                      <a:ext cx="5980629" cy="1926214"/>
                    </a:xfrm>
                    <a:prstGeom prst="rect">
                      <a:avLst/>
                    </a:prstGeom>
                  </pic:spPr>
                </pic:pic>
              </a:graphicData>
            </a:graphic>
          </wp:inline>
        </w:drawing>
      </w:r>
    </w:p>
    <w:p w14:paraId="795EDD28" w14:textId="77777777" w:rsidR="00975250" w:rsidRPr="009E5CCD" w:rsidRDefault="00975250" w:rsidP="00975250">
      <w:pPr>
        <w:rPr>
          <w:b/>
        </w:rPr>
      </w:pPr>
      <w:r w:rsidRPr="009E5CCD">
        <w:rPr>
          <w:b/>
        </w:rPr>
        <w:t>Monitoring Data:</w:t>
      </w:r>
    </w:p>
    <w:p w14:paraId="47574316" w14:textId="77777777" w:rsidR="00975250" w:rsidRDefault="00975250" w:rsidP="00975250">
      <w:pPr>
        <w:rPr>
          <w:b/>
        </w:rPr>
      </w:pPr>
      <w:r>
        <w:t>Over the course of 2025 the City’s Wastewater Collection System discharged 15,409,918 m</w:t>
      </w:r>
      <w:r>
        <w:rPr>
          <w:vertAlign w:val="superscript"/>
        </w:rPr>
        <w:t>3</w:t>
      </w:r>
      <w:r>
        <w:t xml:space="preserve"> of wastewater to 4 geographically separated treatment facilities compared to 15,761,105 m</w:t>
      </w:r>
      <w:r>
        <w:rPr>
          <w:vertAlign w:val="superscript"/>
        </w:rPr>
        <w:t>3</w:t>
      </w:r>
      <w:r>
        <w:t xml:space="preserve"> in 2024. It is estimated that roughly 2,287,450 m</w:t>
      </w:r>
      <w:r>
        <w:rPr>
          <w:vertAlign w:val="superscript"/>
        </w:rPr>
        <w:t>3</w:t>
      </w:r>
      <w:r>
        <w:t xml:space="preserve"> (14.8%) of the total treatment volume was made up of rainwater/groundwater caused by Inflow and Infiltration (I&amp;I), an improvement from 2,557,804 m</w:t>
      </w:r>
      <w:r>
        <w:rPr>
          <w:vertAlign w:val="superscript"/>
        </w:rPr>
        <w:t>3</w:t>
      </w:r>
      <w:r>
        <w:t xml:space="preserve"> (16.2%) in 2024.</w:t>
      </w:r>
    </w:p>
    <w:p w14:paraId="79B5910F" w14:textId="77777777" w:rsidR="00975250" w:rsidRDefault="00975250" w:rsidP="00975250">
      <w:pPr>
        <w:rPr>
          <w:b/>
          <w:bCs/>
        </w:rPr>
      </w:pPr>
      <w:r w:rsidRPr="007279AB">
        <w:rPr>
          <w:bCs/>
        </w:rPr>
        <w:t xml:space="preserve">The City continues to prioritize projects and preventative maintenance designed to minimize I&amp;I, leading to a steady decrease as seen in </w:t>
      </w:r>
      <w:r w:rsidRPr="009E5CCD">
        <w:rPr>
          <w:b/>
          <w:bCs/>
        </w:rPr>
        <w:t>Figure 3</w:t>
      </w:r>
      <w:r w:rsidRPr="007279AB">
        <w:rPr>
          <w:bCs/>
        </w:rPr>
        <w:t>.</w:t>
      </w:r>
    </w:p>
    <w:p w14:paraId="458AE622" w14:textId="77777777" w:rsidR="00975250" w:rsidRPr="009E5CCD" w:rsidRDefault="00975250" w:rsidP="00975250">
      <w:pPr>
        <w:jc w:val="center"/>
        <w:rPr>
          <w:b/>
          <w:bCs/>
        </w:rPr>
      </w:pPr>
      <w:r w:rsidRPr="009E5CCD">
        <w:rPr>
          <w:b/>
          <w:bCs/>
        </w:rPr>
        <w:t>Figure 3 – Inflow and Infiltration</w:t>
      </w:r>
    </w:p>
    <w:p w14:paraId="7CAB7F96" w14:textId="77777777" w:rsidR="00975250" w:rsidRPr="00301F9C" w:rsidRDefault="00975250" w:rsidP="00975250">
      <w:pPr>
        <w:rPr>
          <w:b/>
          <w:highlight w:val="yellow"/>
        </w:rPr>
      </w:pPr>
      <w:r>
        <w:rPr>
          <w:noProof/>
        </w:rPr>
        <w:drawing>
          <wp:inline distT="0" distB="0" distL="0" distR="0" wp14:anchorId="2A1DA7A2" wp14:editId="1A5CCF31">
            <wp:extent cx="5486400" cy="3200400"/>
            <wp:effectExtent l="0" t="0" r="0" b="0"/>
            <wp:docPr id="644623843" name="Chart 4" descr="inflow and infiltration bar graph from year 2015-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4AAA82" w14:textId="77777777" w:rsidR="00975250" w:rsidRDefault="00975250" w:rsidP="00975250">
      <w:pPr>
        <w:rPr>
          <w:b/>
        </w:rPr>
      </w:pPr>
      <w:r w:rsidRPr="00231DB7">
        <w:lastRenderedPageBreak/>
        <w:t>All 19 of the City’s pump</w:t>
      </w:r>
      <w:r>
        <w:t xml:space="preserve"> </w:t>
      </w:r>
      <w:r w:rsidRPr="00231DB7">
        <w:t xml:space="preserve">stations are continuously monitored by a Supervisory Control and Data Acquisition (SCADA) system. The SCADA system can be used to observe, control, or change various aspects of the pump stations remotely, and will send alarm notifications </w:t>
      </w:r>
      <w:r w:rsidRPr="00151706">
        <w:t>during abnormal events that deviate from set alarm ranges. The City received and dealt with 1,872 pump</w:t>
      </w:r>
      <w:r>
        <w:t xml:space="preserve"> </w:t>
      </w:r>
      <w:r w:rsidRPr="00151706">
        <w:t>station alarm notifications of varying severity in 2025, a significant increase from 1,128 in 2024. The severity of each alarm is observed on a case-by-case basis by Environmental Services staff. Alarms may indicate brief parameter fluctuations, notification of operational activity, loss of cellular communication, or issues requiring reactive maintenance. The SCADA system’s historian monitors and tracks wet-well pumping levels, pump start/stop events and pump station alarms, amongst other parameters, and is reviewed daily by Environmental Services staff.</w:t>
      </w:r>
    </w:p>
    <w:p w14:paraId="1BB342AE" w14:textId="768155B8" w:rsidR="00975250" w:rsidRDefault="00975250" w:rsidP="00975250">
      <w:pPr>
        <w:rPr>
          <w:b/>
        </w:rPr>
      </w:pPr>
      <w:r>
        <w:t xml:space="preserve">The 2025 increase in SCADA alarms is primarily attributed to a severe increase in cellular communication alarms as seen in </w:t>
      </w:r>
      <w:r w:rsidRPr="009E5CCD">
        <w:rPr>
          <w:b/>
        </w:rPr>
        <w:t>Figure 4</w:t>
      </w:r>
      <w:r>
        <w:t xml:space="preserve">. </w:t>
      </w:r>
      <w:r w:rsidRPr="005A20F0">
        <w:t>A cellular communication alarm is generated each time the cellular modem at a pump station loses connectivity, interrupting data transmission to the City’s SCADA system</w:t>
      </w:r>
      <w:r>
        <w:t>. The City has opted to use a new cellular provider in 2026 to remedy this issue.</w:t>
      </w:r>
    </w:p>
    <w:p w14:paraId="4711C6AE" w14:textId="77777777" w:rsidR="00975250" w:rsidRPr="009E5CCD" w:rsidRDefault="00975250" w:rsidP="00975250">
      <w:pPr>
        <w:jc w:val="center"/>
        <w:rPr>
          <w:b/>
        </w:rPr>
      </w:pPr>
      <w:r w:rsidRPr="009E5CCD">
        <w:rPr>
          <w:b/>
        </w:rPr>
        <w:t>Figure 4 – SCADA Alarm Types</w:t>
      </w:r>
    </w:p>
    <w:tbl>
      <w:tblPr>
        <w:tblStyle w:val="TableGrid"/>
        <w:tblW w:w="9576" w:type="dxa"/>
        <w:tblLook w:val="04A0" w:firstRow="1" w:lastRow="0" w:firstColumn="1" w:lastColumn="0" w:noHBand="0" w:noVBand="1"/>
      </w:tblPr>
      <w:tblGrid>
        <w:gridCol w:w="3192"/>
        <w:gridCol w:w="3192"/>
        <w:gridCol w:w="3192"/>
      </w:tblGrid>
      <w:tr w:rsidR="00975250" w14:paraId="4A9CBBE8" w14:textId="77777777" w:rsidTr="00462DCE">
        <w:tc>
          <w:tcPr>
            <w:tcW w:w="3192" w:type="dxa"/>
            <w:vAlign w:val="bottom"/>
          </w:tcPr>
          <w:p w14:paraId="0FFFE744" w14:textId="77777777" w:rsidR="00975250" w:rsidRPr="00913893" w:rsidRDefault="00975250" w:rsidP="00462DCE">
            <w:pPr>
              <w:rPr>
                <w:b/>
              </w:rPr>
            </w:pPr>
            <w:r w:rsidRPr="00913893">
              <w:rPr>
                <w:b/>
              </w:rPr>
              <w:t>Alarm Type</w:t>
            </w:r>
          </w:p>
        </w:tc>
        <w:tc>
          <w:tcPr>
            <w:tcW w:w="3192" w:type="dxa"/>
            <w:vAlign w:val="center"/>
          </w:tcPr>
          <w:p w14:paraId="6757DE50" w14:textId="77777777" w:rsidR="00975250" w:rsidRPr="00913893" w:rsidRDefault="00975250" w:rsidP="00462DCE">
            <w:pPr>
              <w:jc w:val="center"/>
              <w:rPr>
                <w:b/>
              </w:rPr>
            </w:pPr>
            <w:r w:rsidRPr="00913893">
              <w:rPr>
                <w:rFonts w:cs="Arial"/>
                <w:b/>
                <w:color w:val="000000"/>
                <w:szCs w:val="24"/>
              </w:rPr>
              <w:t>2025</w:t>
            </w:r>
          </w:p>
        </w:tc>
        <w:tc>
          <w:tcPr>
            <w:tcW w:w="3192" w:type="dxa"/>
            <w:vAlign w:val="center"/>
          </w:tcPr>
          <w:p w14:paraId="30F88F43" w14:textId="77777777" w:rsidR="00975250" w:rsidRPr="00913893" w:rsidRDefault="00975250" w:rsidP="00462DCE">
            <w:pPr>
              <w:jc w:val="center"/>
              <w:rPr>
                <w:b/>
              </w:rPr>
            </w:pPr>
            <w:r w:rsidRPr="00913893">
              <w:rPr>
                <w:rFonts w:cs="Arial"/>
                <w:b/>
                <w:color w:val="000000"/>
                <w:szCs w:val="24"/>
              </w:rPr>
              <w:t>2024</w:t>
            </w:r>
          </w:p>
        </w:tc>
      </w:tr>
      <w:tr w:rsidR="00975250" w14:paraId="050422D0" w14:textId="77777777" w:rsidTr="00462DCE">
        <w:tc>
          <w:tcPr>
            <w:tcW w:w="3192" w:type="dxa"/>
            <w:vAlign w:val="center"/>
          </w:tcPr>
          <w:p w14:paraId="79E18074" w14:textId="77777777" w:rsidR="00975250" w:rsidRPr="005439FA" w:rsidRDefault="00975250" w:rsidP="00462DCE">
            <w:pPr>
              <w:rPr>
                <w:rFonts w:cs="Arial"/>
                <w:b/>
                <w:bCs/>
                <w:color w:val="000000"/>
                <w:szCs w:val="24"/>
              </w:rPr>
            </w:pPr>
            <w:r>
              <w:rPr>
                <w:rFonts w:cs="Arial"/>
                <w:bCs/>
                <w:color w:val="000000"/>
                <w:szCs w:val="24"/>
              </w:rPr>
              <w:t>Arming</w:t>
            </w:r>
          </w:p>
        </w:tc>
        <w:tc>
          <w:tcPr>
            <w:tcW w:w="3192" w:type="dxa"/>
            <w:vAlign w:val="center"/>
          </w:tcPr>
          <w:p w14:paraId="5B09E5CA" w14:textId="77777777" w:rsidR="00975250" w:rsidRPr="005439FA" w:rsidRDefault="00975250" w:rsidP="00462DCE">
            <w:pPr>
              <w:jc w:val="center"/>
              <w:rPr>
                <w:rFonts w:cs="Arial"/>
                <w:b/>
                <w:bCs/>
                <w:color w:val="000000"/>
                <w:szCs w:val="24"/>
              </w:rPr>
            </w:pPr>
            <w:r w:rsidRPr="005439FA">
              <w:rPr>
                <w:rFonts w:cs="Arial"/>
                <w:bCs/>
                <w:color w:val="000000"/>
                <w:szCs w:val="24"/>
              </w:rPr>
              <w:t>48</w:t>
            </w:r>
          </w:p>
        </w:tc>
        <w:tc>
          <w:tcPr>
            <w:tcW w:w="3192" w:type="dxa"/>
            <w:vAlign w:val="center"/>
          </w:tcPr>
          <w:p w14:paraId="25C155C5" w14:textId="77777777" w:rsidR="00975250" w:rsidRPr="005439FA" w:rsidRDefault="00975250" w:rsidP="00462DCE">
            <w:pPr>
              <w:jc w:val="center"/>
              <w:rPr>
                <w:rFonts w:cs="Arial"/>
                <w:b/>
                <w:bCs/>
                <w:color w:val="000000"/>
                <w:szCs w:val="24"/>
              </w:rPr>
            </w:pPr>
            <w:r w:rsidRPr="005439FA">
              <w:rPr>
                <w:rFonts w:cs="Arial"/>
                <w:bCs/>
                <w:color w:val="000000"/>
                <w:szCs w:val="24"/>
              </w:rPr>
              <w:t>17</w:t>
            </w:r>
          </w:p>
        </w:tc>
      </w:tr>
      <w:tr w:rsidR="00975250" w14:paraId="358A6CDA" w14:textId="77777777" w:rsidTr="00462DCE">
        <w:tc>
          <w:tcPr>
            <w:tcW w:w="3192" w:type="dxa"/>
            <w:vAlign w:val="center"/>
          </w:tcPr>
          <w:p w14:paraId="0AB83A8A" w14:textId="77777777" w:rsidR="00975250" w:rsidRDefault="00975250" w:rsidP="00462DCE">
            <w:pPr>
              <w:rPr>
                <w:b/>
              </w:rPr>
            </w:pPr>
            <w:r w:rsidRPr="005439FA">
              <w:rPr>
                <w:rFonts w:cs="Arial"/>
                <w:bCs/>
                <w:color w:val="000000"/>
                <w:szCs w:val="24"/>
              </w:rPr>
              <w:t>Communication</w:t>
            </w:r>
          </w:p>
        </w:tc>
        <w:tc>
          <w:tcPr>
            <w:tcW w:w="3192" w:type="dxa"/>
            <w:vAlign w:val="center"/>
          </w:tcPr>
          <w:p w14:paraId="58AA83B8" w14:textId="77777777" w:rsidR="00975250" w:rsidRDefault="00975250" w:rsidP="00462DCE">
            <w:pPr>
              <w:jc w:val="center"/>
              <w:rPr>
                <w:b/>
              </w:rPr>
            </w:pPr>
            <w:r w:rsidRPr="005439FA">
              <w:rPr>
                <w:rFonts w:cs="Arial"/>
                <w:bCs/>
                <w:color w:val="000000"/>
                <w:szCs w:val="24"/>
              </w:rPr>
              <w:t>738</w:t>
            </w:r>
          </w:p>
        </w:tc>
        <w:tc>
          <w:tcPr>
            <w:tcW w:w="3192" w:type="dxa"/>
            <w:vAlign w:val="center"/>
          </w:tcPr>
          <w:p w14:paraId="208BFD8A" w14:textId="77777777" w:rsidR="00975250" w:rsidRDefault="00975250" w:rsidP="00462DCE">
            <w:pPr>
              <w:jc w:val="center"/>
              <w:rPr>
                <w:b/>
              </w:rPr>
            </w:pPr>
            <w:r w:rsidRPr="005439FA">
              <w:rPr>
                <w:rFonts w:cs="Arial"/>
                <w:bCs/>
                <w:color w:val="000000"/>
                <w:szCs w:val="24"/>
              </w:rPr>
              <w:t>90</w:t>
            </w:r>
          </w:p>
        </w:tc>
      </w:tr>
      <w:tr w:rsidR="00975250" w14:paraId="10E073B1" w14:textId="77777777" w:rsidTr="00462DCE">
        <w:tc>
          <w:tcPr>
            <w:tcW w:w="3192" w:type="dxa"/>
            <w:vAlign w:val="center"/>
          </w:tcPr>
          <w:p w14:paraId="1A7EB93F" w14:textId="77777777" w:rsidR="00975250" w:rsidRPr="005439FA" w:rsidRDefault="00975250" w:rsidP="00462DCE">
            <w:pPr>
              <w:rPr>
                <w:rFonts w:cs="Arial"/>
                <w:b/>
                <w:bCs/>
                <w:color w:val="000000"/>
                <w:szCs w:val="24"/>
              </w:rPr>
            </w:pPr>
            <w:r w:rsidRPr="005439FA">
              <w:rPr>
                <w:rFonts w:cs="Arial"/>
                <w:bCs/>
                <w:color w:val="000000"/>
                <w:szCs w:val="24"/>
              </w:rPr>
              <w:t>Floats</w:t>
            </w:r>
          </w:p>
        </w:tc>
        <w:tc>
          <w:tcPr>
            <w:tcW w:w="3192" w:type="dxa"/>
            <w:vAlign w:val="center"/>
          </w:tcPr>
          <w:p w14:paraId="0A955565" w14:textId="77777777" w:rsidR="00975250" w:rsidRPr="005439FA" w:rsidRDefault="00975250" w:rsidP="00462DCE">
            <w:pPr>
              <w:jc w:val="center"/>
              <w:rPr>
                <w:rFonts w:cs="Arial"/>
                <w:b/>
                <w:bCs/>
                <w:color w:val="000000"/>
                <w:szCs w:val="24"/>
              </w:rPr>
            </w:pPr>
            <w:r w:rsidRPr="005439FA">
              <w:rPr>
                <w:rFonts w:cs="Arial"/>
                <w:bCs/>
                <w:color w:val="000000"/>
                <w:szCs w:val="24"/>
              </w:rPr>
              <w:t>257</w:t>
            </w:r>
          </w:p>
        </w:tc>
        <w:tc>
          <w:tcPr>
            <w:tcW w:w="3192" w:type="dxa"/>
            <w:vAlign w:val="center"/>
          </w:tcPr>
          <w:p w14:paraId="1DF9BD50" w14:textId="77777777" w:rsidR="00975250" w:rsidRPr="005439FA" w:rsidRDefault="00975250" w:rsidP="00462DCE">
            <w:pPr>
              <w:jc w:val="center"/>
              <w:rPr>
                <w:rFonts w:cs="Arial"/>
                <w:b/>
                <w:bCs/>
                <w:color w:val="000000"/>
                <w:szCs w:val="24"/>
              </w:rPr>
            </w:pPr>
            <w:r w:rsidRPr="005439FA">
              <w:rPr>
                <w:rFonts w:cs="Arial"/>
                <w:bCs/>
                <w:color w:val="000000"/>
                <w:szCs w:val="24"/>
              </w:rPr>
              <w:t>226</w:t>
            </w:r>
          </w:p>
        </w:tc>
      </w:tr>
      <w:tr w:rsidR="00975250" w14:paraId="1B098A25" w14:textId="77777777" w:rsidTr="00462DCE">
        <w:tc>
          <w:tcPr>
            <w:tcW w:w="3192" w:type="dxa"/>
            <w:vAlign w:val="center"/>
          </w:tcPr>
          <w:p w14:paraId="0DC307AC" w14:textId="77777777" w:rsidR="00975250" w:rsidRPr="005439FA" w:rsidRDefault="00975250" w:rsidP="00462DCE">
            <w:pPr>
              <w:rPr>
                <w:rFonts w:cs="Arial"/>
                <w:b/>
                <w:bCs/>
                <w:color w:val="000000"/>
                <w:szCs w:val="24"/>
              </w:rPr>
            </w:pPr>
            <w:r w:rsidRPr="005439FA">
              <w:rPr>
                <w:rFonts w:cs="Arial"/>
                <w:bCs/>
                <w:color w:val="000000"/>
                <w:szCs w:val="24"/>
              </w:rPr>
              <w:t>Generator</w:t>
            </w:r>
          </w:p>
        </w:tc>
        <w:tc>
          <w:tcPr>
            <w:tcW w:w="3192" w:type="dxa"/>
            <w:vAlign w:val="center"/>
          </w:tcPr>
          <w:p w14:paraId="0E0A1812" w14:textId="77777777" w:rsidR="00975250" w:rsidRPr="005439FA" w:rsidRDefault="00975250" w:rsidP="00462DCE">
            <w:pPr>
              <w:jc w:val="center"/>
              <w:rPr>
                <w:rFonts w:cs="Arial"/>
                <w:b/>
                <w:bCs/>
                <w:color w:val="000000"/>
                <w:szCs w:val="24"/>
              </w:rPr>
            </w:pPr>
            <w:r w:rsidRPr="005439FA">
              <w:rPr>
                <w:rFonts w:cs="Arial"/>
                <w:bCs/>
                <w:color w:val="000000"/>
                <w:szCs w:val="24"/>
              </w:rPr>
              <w:t>138</w:t>
            </w:r>
          </w:p>
        </w:tc>
        <w:tc>
          <w:tcPr>
            <w:tcW w:w="3192" w:type="dxa"/>
            <w:vAlign w:val="center"/>
          </w:tcPr>
          <w:p w14:paraId="344A2210" w14:textId="77777777" w:rsidR="00975250" w:rsidRPr="005439FA" w:rsidRDefault="00975250" w:rsidP="00462DCE">
            <w:pPr>
              <w:jc w:val="center"/>
              <w:rPr>
                <w:rFonts w:cs="Arial"/>
                <w:b/>
                <w:bCs/>
                <w:color w:val="000000"/>
                <w:szCs w:val="24"/>
              </w:rPr>
            </w:pPr>
            <w:r w:rsidRPr="005439FA">
              <w:rPr>
                <w:rFonts w:cs="Arial"/>
                <w:bCs/>
                <w:color w:val="000000"/>
                <w:szCs w:val="24"/>
              </w:rPr>
              <w:t>117</w:t>
            </w:r>
          </w:p>
        </w:tc>
      </w:tr>
      <w:tr w:rsidR="00975250" w14:paraId="644ECBA7" w14:textId="77777777" w:rsidTr="00462DCE">
        <w:tc>
          <w:tcPr>
            <w:tcW w:w="3192" w:type="dxa"/>
            <w:vAlign w:val="center"/>
          </w:tcPr>
          <w:p w14:paraId="5805681C" w14:textId="77777777" w:rsidR="00975250" w:rsidRPr="005439FA" w:rsidRDefault="00975250" w:rsidP="00462DCE">
            <w:pPr>
              <w:rPr>
                <w:rFonts w:cs="Arial"/>
                <w:b/>
                <w:bCs/>
                <w:color w:val="000000"/>
                <w:szCs w:val="24"/>
              </w:rPr>
            </w:pPr>
            <w:r w:rsidRPr="005439FA">
              <w:rPr>
                <w:rFonts w:cs="Arial"/>
                <w:bCs/>
                <w:color w:val="000000"/>
                <w:szCs w:val="24"/>
              </w:rPr>
              <w:t>Levels</w:t>
            </w:r>
          </w:p>
        </w:tc>
        <w:tc>
          <w:tcPr>
            <w:tcW w:w="3192" w:type="dxa"/>
            <w:vAlign w:val="center"/>
          </w:tcPr>
          <w:p w14:paraId="6277DCA0" w14:textId="77777777" w:rsidR="00975250" w:rsidRPr="005439FA" w:rsidRDefault="00975250" w:rsidP="00462DCE">
            <w:pPr>
              <w:jc w:val="center"/>
              <w:rPr>
                <w:rFonts w:cs="Arial"/>
                <w:b/>
                <w:bCs/>
                <w:color w:val="000000"/>
                <w:szCs w:val="24"/>
              </w:rPr>
            </w:pPr>
            <w:r w:rsidRPr="005439FA">
              <w:rPr>
                <w:rFonts w:cs="Arial"/>
                <w:bCs/>
                <w:color w:val="000000"/>
                <w:szCs w:val="24"/>
              </w:rPr>
              <w:t>320</w:t>
            </w:r>
          </w:p>
        </w:tc>
        <w:tc>
          <w:tcPr>
            <w:tcW w:w="3192" w:type="dxa"/>
            <w:vAlign w:val="center"/>
          </w:tcPr>
          <w:p w14:paraId="2B57D9E4" w14:textId="77777777" w:rsidR="00975250" w:rsidRPr="005439FA" w:rsidRDefault="00975250" w:rsidP="00462DCE">
            <w:pPr>
              <w:jc w:val="center"/>
              <w:rPr>
                <w:rFonts w:cs="Arial"/>
                <w:b/>
                <w:bCs/>
                <w:color w:val="000000"/>
                <w:szCs w:val="24"/>
              </w:rPr>
            </w:pPr>
            <w:r w:rsidRPr="005439FA">
              <w:rPr>
                <w:rFonts w:cs="Arial"/>
                <w:bCs/>
                <w:color w:val="000000"/>
                <w:szCs w:val="24"/>
              </w:rPr>
              <w:t>281</w:t>
            </w:r>
          </w:p>
        </w:tc>
      </w:tr>
      <w:tr w:rsidR="00975250" w14:paraId="79AA7E5F" w14:textId="77777777" w:rsidTr="00462DCE">
        <w:tc>
          <w:tcPr>
            <w:tcW w:w="3192" w:type="dxa"/>
            <w:vAlign w:val="center"/>
          </w:tcPr>
          <w:p w14:paraId="3DE7BEFA" w14:textId="77777777" w:rsidR="00975250" w:rsidRPr="005439FA" w:rsidRDefault="00975250" w:rsidP="00462DCE">
            <w:pPr>
              <w:rPr>
                <w:rFonts w:cs="Arial"/>
                <w:b/>
                <w:bCs/>
                <w:color w:val="000000"/>
                <w:szCs w:val="24"/>
              </w:rPr>
            </w:pPr>
            <w:r w:rsidRPr="005439FA">
              <w:rPr>
                <w:rFonts w:cs="Arial"/>
                <w:bCs/>
                <w:color w:val="000000"/>
                <w:szCs w:val="24"/>
              </w:rPr>
              <w:t>Misc.</w:t>
            </w:r>
          </w:p>
        </w:tc>
        <w:tc>
          <w:tcPr>
            <w:tcW w:w="3192" w:type="dxa"/>
            <w:vAlign w:val="center"/>
          </w:tcPr>
          <w:p w14:paraId="7E965994" w14:textId="77777777" w:rsidR="00975250" w:rsidRPr="005439FA" w:rsidRDefault="00975250" w:rsidP="00462DCE">
            <w:pPr>
              <w:jc w:val="center"/>
              <w:rPr>
                <w:rFonts w:cs="Arial"/>
                <w:b/>
                <w:bCs/>
                <w:color w:val="000000"/>
                <w:szCs w:val="24"/>
              </w:rPr>
            </w:pPr>
            <w:r w:rsidRPr="005439FA">
              <w:rPr>
                <w:rFonts w:cs="Arial"/>
                <w:bCs/>
                <w:color w:val="000000"/>
                <w:szCs w:val="24"/>
              </w:rPr>
              <w:t>2</w:t>
            </w:r>
          </w:p>
        </w:tc>
        <w:tc>
          <w:tcPr>
            <w:tcW w:w="3192" w:type="dxa"/>
            <w:vAlign w:val="center"/>
          </w:tcPr>
          <w:p w14:paraId="68F77E05" w14:textId="77777777" w:rsidR="00975250" w:rsidRPr="005439FA" w:rsidRDefault="00975250" w:rsidP="00462DCE">
            <w:pPr>
              <w:jc w:val="center"/>
              <w:rPr>
                <w:rFonts w:cs="Arial"/>
                <w:b/>
                <w:bCs/>
                <w:color w:val="000000"/>
                <w:szCs w:val="24"/>
              </w:rPr>
            </w:pPr>
            <w:r w:rsidRPr="005439FA">
              <w:rPr>
                <w:rFonts w:cs="Arial"/>
                <w:bCs/>
                <w:color w:val="000000"/>
                <w:szCs w:val="24"/>
              </w:rPr>
              <w:t>0</w:t>
            </w:r>
          </w:p>
        </w:tc>
      </w:tr>
      <w:tr w:rsidR="00975250" w14:paraId="2781EC25" w14:textId="77777777" w:rsidTr="00462DCE">
        <w:tc>
          <w:tcPr>
            <w:tcW w:w="3192" w:type="dxa"/>
            <w:vAlign w:val="center"/>
          </w:tcPr>
          <w:p w14:paraId="1CBF0CAF" w14:textId="77777777" w:rsidR="00975250" w:rsidRPr="005439FA" w:rsidRDefault="00975250" w:rsidP="00462DCE">
            <w:pPr>
              <w:rPr>
                <w:rFonts w:cs="Arial"/>
                <w:b/>
                <w:bCs/>
                <w:color w:val="000000"/>
                <w:szCs w:val="24"/>
              </w:rPr>
            </w:pPr>
            <w:r w:rsidRPr="005439FA">
              <w:rPr>
                <w:rFonts w:cs="Arial"/>
                <w:bCs/>
                <w:color w:val="000000"/>
                <w:szCs w:val="24"/>
              </w:rPr>
              <w:t>Power</w:t>
            </w:r>
          </w:p>
        </w:tc>
        <w:tc>
          <w:tcPr>
            <w:tcW w:w="3192" w:type="dxa"/>
            <w:vAlign w:val="center"/>
          </w:tcPr>
          <w:p w14:paraId="685646F3" w14:textId="77777777" w:rsidR="00975250" w:rsidRPr="005439FA" w:rsidRDefault="00975250" w:rsidP="00462DCE">
            <w:pPr>
              <w:jc w:val="center"/>
              <w:rPr>
                <w:rFonts w:cs="Arial"/>
                <w:b/>
                <w:bCs/>
                <w:color w:val="000000"/>
                <w:szCs w:val="24"/>
              </w:rPr>
            </w:pPr>
            <w:r w:rsidRPr="005439FA">
              <w:rPr>
                <w:rFonts w:cs="Arial"/>
                <w:bCs/>
                <w:color w:val="000000"/>
                <w:szCs w:val="24"/>
              </w:rPr>
              <w:t>22</w:t>
            </w:r>
          </w:p>
        </w:tc>
        <w:tc>
          <w:tcPr>
            <w:tcW w:w="3192" w:type="dxa"/>
            <w:vAlign w:val="center"/>
          </w:tcPr>
          <w:p w14:paraId="50ECCD04" w14:textId="77777777" w:rsidR="00975250" w:rsidRPr="005439FA" w:rsidRDefault="00975250" w:rsidP="00462DCE">
            <w:pPr>
              <w:jc w:val="center"/>
              <w:rPr>
                <w:rFonts w:cs="Arial"/>
                <w:b/>
                <w:bCs/>
                <w:color w:val="000000"/>
                <w:szCs w:val="24"/>
              </w:rPr>
            </w:pPr>
            <w:r w:rsidRPr="005439FA">
              <w:rPr>
                <w:rFonts w:cs="Arial"/>
                <w:bCs/>
                <w:color w:val="000000"/>
                <w:szCs w:val="24"/>
              </w:rPr>
              <w:t>9</w:t>
            </w:r>
          </w:p>
        </w:tc>
      </w:tr>
      <w:tr w:rsidR="00975250" w14:paraId="5116B631" w14:textId="77777777" w:rsidTr="00462DCE">
        <w:tc>
          <w:tcPr>
            <w:tcW w:w="3192" w:type="dxa"/>
            <w:vAlign w:val="center"/>
          </w:tcPr>
          <w:p w14:paraId="3E4D0B2D" w14:textId="77777777" w:rsidR="00975250" w:rsidRDefault="00975250" w:rsidP="00462DCE">
            <w:pPr>
              <w:rPr>
                <w:b/>
              </w:rPr>
            </w:pPr>
            <w:r w:rsidRPr="005439FA">
              <w:rPr>
                <w:rFonts w:cs="Arial"/>
                <w:bCs/>
                <w:color w:val="000000"/>
                <w:szCs w:val="24"/>
              </w:rPr>
              <w:t>Pumps</w:t>
            </w:r>
          </w:p>
        </w:tc>
        <w:tc>
          <w:tcPr>
            <w:tcW w:w="3192" w:type="dxa"/>
            <w:vAlign w:val="center"/>
          </w:tcPr>
          <w:p w14:paraId="2CB29EFB" w14:textId="77777777" w:rsidR="00975250" w:rsidRDefault="00975250" w:rsidP="00462DCE">
            <w:pPr>
              <w:jc w:val="center"/>
              <w:rPr>
                <w:b/>
              </w:rPr>
            </w:pPr>
            <w:r w:rsidRPr="005439FA">
              <w:rPr>
                <w:rFonts w:cs="Arial"/>
                <w:bCs/>
                <w:color w:val="000000"/>
                <w:szCs w:val="24"/>
              </w:rPr>
              <w:t>315</w:t>
            </w:r>
          </w:p>
        </w:tc>
        <w:tc>
          <w:tcPr>
            <w:tcW w:w="3192" w:type="dxa"/>
            <w:vAlign w:val="center"/>
          </w:tcPr>
          <w:p w14:paraId="5B89D0A8" w14:textId="77777777" w:rsidR="00975250" w:rsidRDefault="00975250" w:rsidP="00462DCE">
            <w:pPr>
              <w:jc w:val="center"/>
              <w:rPr>
                <w:b/>
              </w:rPr>
            </w:pPr>
            <w:r w:rsidRPr="005439FA">
              <w:rPr>
                <w:rFonts w:cs="Arial"/>
                <w:bCs/>
                <w:color w:val="000000"/>
                <w:szCs w:val="24"/>
              </w:rPr>
              <w:t>250</w:t>
            </w:r>
          </w:p>
        </w:tc>
      </w:tr>
      <w:tr w:rsidR="00975250" w14:paraId="707BBBDD" w14:textId="77777777" w:rsidTr="00462DCE">
        <w:tc>
          <w:tcPr>
            <w:tcW w:w="3192" w:type="dxa"/>
            <w:vAlign w:val="center"/>
          </w:tcPr>
          <w:p w14:paraId="6F58449F" w14:textId="77777777" w:rsidR="00975250" w:rsidRDefault="00975250" w:rsidP="00462DCE">
            <w:pPr>
              <w:rPr>
                <w:b/>
              </w:rPr>
            </w:pPr>
            <w:r w:rsidRPr="005439FA">
              <w:rPr>
                <w:rFonts w:cs="Arial"/>
                <w:bCs/>
                <w:color w:val="000000"/>
                <w:szCs w:val="24"/>
              </w:rPr>
              <w:t>Temperature</w:t>
            </w:r>
          </w:p>
        </w:tc>
        <w:tc>
          <w:tcPr>
            <w:tcW w:w="3192" w:type="dxa"/>
            <w:vAlign w:val="center"/>
          </w:tcPr>
          <w:p w14:paraId="284D8B43" w14:textId="77777777" w:rsidR="00975250" w:rsidRDefault="00975250" w:rsidP="00462DCE">
            <w:pPr>
              <w:jc w:val="center"/>
              <w:rPr>
                <w:b/>
              </w:rPr>
            </w:pPr>
            <w:r w:rsidRPr="005439FA">
              <w:rPr>
                <w:rFonts w:cs="Arial"/>
                <w:bCs/>
                <w:color w:val="000000"/>
                <w:szCs w:val="24"/>
              </w:rPr>
              <w:t>32</w:t>
            </w:r>
          </w:p>
        </w:tc>
        <w:tc>
          <w:tcPr>
            <w:tcW w:w="3192" w:type="dxa"/>
            <w:vAlign w:val="center"/>
          </w:tcPr>
          <w:p w14:paraId="41E45AC9" w14:textId="77777777" w:rsidR="00975250" w:rsidRDefault="00975250" w:rsidP="00462DCE">
            <w:pPr>
              <w:jc w:val="center"/>
              <w:rPr>
                <w:b/>
              </w:rPr>
            </w:pPr>
            <w:r w:rsidRPr="005439FA">
              <w:rPr>
                <w:rFonts w:cs="Arial"/>
                <w:bCs/>
                <w:color w:val="000000"/>
                <w:szCs w:val="24"/>
              </w:rPr>
              <w:t>138</w:t>
            </w:r>
          </w:p>
        </w:tc>
      </w:tr>
      <w:tr w:rsidR="00975250" w14:paraId="6F6EB2F6" w14:textId="77777777" w:rsidTr="00462DCE">
        <w:tc>
          <w:tcPr>
            <w:tcW w:w="3192" w:type="dxa"/>
            <w:vAlign w:val="center"/>
          </w:tcPr>
          <w:p w14:paraId="55E30E3C" w14:textId="77777777" w:rsidR="00975250" w:rsidRPr="005439FA" w:rsidRDefault="00975250" w:rsidP="00462DCE">
            <w:pPr>
              <w:rPr>
                <w:rFonts w:cs="Arial"/>
                <w:b/>
                <w:bCs/>
                <w:color w:val="000000"/>
                <w:szCs w:val="24"/>
              </w:rPr>
            </w:pPr>
            <w:r w:rsidRPr="005439FA">
              <w:rPr>
                <w:rFonts w:cs="Arial"/>
                <w:color w:val="000000"/>
                <w:szCs w:val="24"/>
              </w:rPr>
              <w:t>Totals</w:t>
            </w:r>
          </w:p>
        </w:tc>
        <w:tc>
          <w:tcPr>
            <w:tcW w:w="3192" w:type="dxa"/>
            <w:vAlign w:val="center"/>
          </w:tcPr>
          <w:p w14:paraId="02A604DE" w14:textId="77777777" w:rsidR="00975250" w:rsidRPr="005439FA" w:rsidRDefault="00975250" w:rsidP="00462DCE">
            <w:pPr>
              <w:jc w:val="center"/>
              <w:rPr>
                <w:rFonts w:cs="Arial"/>
                <w:b/>
                <w:bCs/>
                <w:color w:val="000000"/>
                <w:szCs w:val="24"/>
              </w:rPr>
            </w:pPr>
            <w:r w:rsidRPr="005439FA">
              <w:rPr>
                <w:rFonts w:cs="Arial"/>
                <w:color w:val="000000"/>
                <w:szCs w:val="24"/>
              </w:rPr>
              <w:t>1872</w:t>
            </w:r>
          </w:p>
        </w:tc>
        <w:tc>
          <w:tcPr>
            <w:tcW w:w="3192" w:type="dxa"/>
            <w:vAlign w:val="center"/>
          </w:tcPr>
          <w:p w14:paraId="36156FCC" w14:textId="77777777" w:rsidR="00975250" w:rsidRPr="005439FA" w:rsidRDefault="00975250" w:rsidP="00462DCE">
            <w:pPr>
              <w:jc w:val="center"/>
              <w:rPr>
                <w:rFonts w:cs="Arial"/>
                <w:b/>
                <w:bCs/>
                <w:color w:val="000000"/>
                <w:szCs w:val="24"/>
              </w:rPr>
            </w:pPr>
            <w:r w:rsidRPr="005439FA">
              <w:rPr>
                <w:rFonts w:cs="Arial"/>
                <w:color w:val="000000"/>
                <w:szCs w:val="24"/>
              </w:rPr>
              <w:t>1128</w:t>
            </w:r>
          </w:p>
        </w:tc>
      </w:tr>
    </w:tbl>
    <w:p w14:paraId="04D46DA6" w14:textId="77777777" w:rsidR="00975250" w:rsidRPr="00617A68" w:rsidRDefault="00975250" w:rsidP="00975250">
      <w:pPr>
        <w:rPr>
          <w:b/>
        </w:rPr>
      </w:pPr>
      <w:r w:rsidRPr="00617A68">
        <w:t>The City monitors the Newton Landfill Leachate Collection System (LCS) through the third-party efforts of Civica</w:t>
      </w:r>
      <w:r>
        <w:t xml:space="preserve"> as well as The Region of Waterloo Environmental Enforcement &amp; Laboratory Services (EELS)</w:t>
      </w:r>
      <w:r w:rsidRPr="00617A68">
        <w:t xml:space="preserve">. Sampling data for the Newton Landfill LCS can be found in </w:t>
      </w:r>
      <w:r w:rsidRPr="005F14B5">
        <w:t>Appendix A: 2025 Newton Landfill Sampling Report.</w:t>
      </w:r>
    </w:p>
    <w:p w14:paraId="6E587FCB" w14:textId="77777777" w:rsidR="009E5CCD" w:rsidRDefault="009E5CCD" w:rsidP="00975250"/>
    <w:p w14:paraId="25CFF556" w14:textId="77777777" w:rsidR="009E5CCD" w:rsidRDefault="009E5CCD" w:rsidP="00975250"/>
    <w:p w14:paraId="647F2A88" w14:textId="542B8D13" w:rsidR="00975250" w:rsidRPr="009E5CCD" w:rsidRDefault="00975250" w:rsidP="00975250">
      <w:pPr>
        <w:rPr>
          <w:b/>
          <w:bCs/>
        </w:rPr>
      </w:pPr>
      <w:r w:rsidRPr="009E5CCD">
        <w:rPr>
          <w:b/>
          <w:bCs/>
        </w:rPr>
        <w:lastRenderedPageBreak/>
        <w:t>Operational Problems and Corrective Actions:</w:t>
      </w:r>
    </w:p>
    <w:p w14:paraId="7D8F8A34" w14:textId="77777777" w:rsidR="00975250" w:rsidRPr="00C012FD" w:rsidRDefault="00975250" w:rsidP="00975250">
      <w:pPr>
        <w:rPr>
          <w:b/>
        </w:rPr>
      </w:pPr>
      <w:r w:rsidRPr="00C012FD">
        <w:t>Environmental Servies defines “operational problem” as an exceptional circumstance which may directly affect the City’s ability to provide safe and reliable sanitary service for customers including, but not limited to, main blocks/collapse, emergency pipe/service failure, force main repairs, pump failures, and extended power failures.</w:t>
      </w:r>
    </w:p>
    <w:p w14:paraId="0B66B359" w14:textId="1E18E60D" w:rsidR="00975250" w:rsidRPr="00301F9C" w:rsidRDefault="00975250" w:rsidP="00975250">
      <w:pPr>
        <w:rPr>
          <w:b/>
          <w:highlight w:val="yellow"/>
        </w:rPr>
      </w:pPr>
      <w:r w:rsidRPr="00DF2302">
        <w:t>The City’s flushing preventative maintenance schedule has helped prevent large blockages from occurring in recent years</w:t>
      </w:r>
      <w:r w:rsidRPr="008F1FF5">
        <w:t xml:space="preserve">. In 2025 the City experienced 8 wastewater main blockages, as seen in </w:t>
      </w:r>
      <w:r w:rsidRPr="009E5CCD">
        <w:rPr>
          <w:b/>
        </w:rPr>
        <w:t>Figure 5</w:t>
      </w:r>
      <w:r w:rsidRPr="008F1FF5">
        <w:t>, down from 15 in 2024.</w:t>
      </w:r>
      <w:r>
        <w:t xml:space="preserve"> The City has averaged 15.6 blocks/year over the previous 5 years.</w:t>
      </w:r>
      <w:r w:rsidRPr="008F1FF5">
        <w:t xml:space="preserve"> </w:t>
      </w:r>
      <w:r w:rsidRPr="008D667F">
        <w:t>Through proactive grid checks the city was able to locate 3 (38%) of these blockages before they became emergencies, compared to 6 (40%) in 2024</w:t>
      </w:r>
      <w:r>
        <w:t xml:space="preserve">. </w:t>
      </w:r>
      <w:r w:rsidRPr="00F06780">
        <w:t>The City has proactively discovered 44% of all main blocks over the previous 5 years through preventative maintenance practices. The City used a variety of methods to clear all main blocks including rodding, flushing, and if necessary, replacement. An additional 2 potential main blockages were tracked, investigated, and ruled out by Environmental Services staff in 2025, as the increased sewer volumes were caused by unrelated acute inflow situations.</w:t>
      </w:r>
    </w:p>
    <w:p w14:paraId="7DFB257C" w14:textId="77777777" w:rsidR="00975250" w:rsidRPr="009E5CCD" w:rsidRDefault="00975250" w:rsidP="00975250">
      <w:pPr>
        <w:jc w:val="center"/>
        <w:rPr>
          <w:b/>
        </w:rPr>
      </w:pPr>
      <w:r w:rsidRPr="009E5CCD">
        <w:rPr>
          <w:b/>
        </w:rPr>
        <w:t>Figure 5 – Wastewater Main Blockages</w:t>
      </w:r>
    </w:p>
    <w:p w14:paraId="26DA032E" w14:textId="77777777" w:rsidR="00975250" w:rsidRPr="00301F9C" w:rsidRDefault="00975250" w:rsidP="00975250">
      <w:pPr>
        <w:rPr>
          <w:b/>
          <w:highlight w:val="yellow"/>
        </w:rPr>
      </w:pPr>
      <w:r w:rsidRPr="00301F9C">
        <w:rPr>
          <w:b/>
          <w:noProof/>
          <w:highlight w:val="yellow"/>
        </w:rPr>
        <w:drawing>
          <wp:inline distT="0" distB="0" distL="0" distR="0" wp14:anchorId="08505E7A" wp14:editId="2BFE0DBC">
            <wp:extent cx="5486400" cy="3200400"/>
            <wp:effectExtent l="0" t="0" r="0" b="0"/>
            <wp:docPr id="585224800" name="Chart 2" descr="bar graph summarizing the number of wastewater main blockages from year 2019-20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4B8BC61" w14:textId="77777777" w:rsidR="00975250" w:rsidRPr="00301F9C" w:rsidRDefault="00975250" w:rsidP="00975250">
      <w:pPr>
        <w:rPr>
          <w:b/>
          <w:highlight w:val="yellow"/>
        </w:rPr>
      </w:pPr>
      <w:r w:rsidRPr="00B325E7">
        <w:t xml:space="preserve">The City has a variety of emergency power sources to ensure individual </w:t>
      </w:r>
      <w:r>
        <w:t>pump station</w:t>
      </w:r>
      <w:r w:rsidRPr="00B325E7">
        <w:t xml:space="preserve">s are able to continuously function during loss of power scenarios. Over the course of </w:t>
      </w:r>
      <w:r w:rsidRPr="00DE3C04">
        <w:t>2025, the City experienced 22 loss of power alarms, up from 9 in 2024</w:t>
      </w:r>
      <w:r>
        <w:t>, with the longest outage recorded at 1h12m. All outages were investigated by Environmental Services. There were 0 instances where a loss of power scenario led to the City being out of compliance in 2025.</w:t>
      </w:r>
    </w:p>
    <w:p w14:paraId="0E1F7F5A" w14:textId="77777777" w:rsidR="00975250" w:rsidRPr="00301F9C" w:rsidRDefault="00975250" w:rsidP="00975250">
      <w:pPr>
        <w:rPr>
          <w:b/>
          <w:highlight w:val="yellow"/>
        </w:rPr>
      </w:pPr>
      <w:r w:rsidRPr="00B949D7">
        <w:lastRenderedPageBreak/>
        <w:t xml:space="preserve">An array of operational and environmental concerns can result from pump faults and failures within the City’s </w:t>
      </w:r>
      <w:r>
        <w:t>pump station</w:t>
      </w:r>
      <w:r w:rsidRPr="00B949D7">
        <w:t xml:space="preserve">s. </w:t>
      </w:r>
      <w:r w:rsidRPr="000A370C">
        <w:t xml:space="preserve">Environmental Services received and investigated 315 alarms from its SCADA system indicating 88 events involving pump faults, pump failures, and excessive pump cycling at various </w:t>
      </w:r>
      <w:r>
        <w:t>pump station</w:t>
      </w:r>
      <w:r w:rsidRPr="000A370C">
        <w:t xml:space="preserve">s in 2025, up from 42 events in 2024. The results of these alarms vary from operational activity such as cycling power on pumps for preventative maintenance, to brief </w:t>
      </w:r>
      <w:r>
        <w:t>cellular</w:t>
      </w:r>
      <w:r w:rsidRPr="000A370C">
        <w:t xml:space="preserve"> signal losses between the station and the SCADA monitoring system, to actual pump failures requiring the pumps to be pulled from their wet well for reactive maintenance. Of the 88 events, 3 (4%) incidents requiring pumps to be pulled out for reactive maintenance compared to 8 (19%) in 2024.</w:t>
      </w:r>
    </w:p>
    <w:p w14:paraId="69655651" w14:textId="38C18192" w:rsidR="00975250" w:rsidRPr="00FA07DC" w:rsidRDefault="00975250" w:rsidP="00975250">
      <w:pPr>
        <w:rPr>
          <w:b/>
        </w:rPr>
      </w:pPr>
      <w:r w:rsidRPr="00FA07DC">
        <w:t xml:space="preserve">The City maintains force mains for each </w:t>
      </w:r>
      <w:r>
        <w:t>pump station</w:t>
      </w:r>
      <w:r w:rsidRPr="00FA07DC">
        <w:t xml:space="preserve">. Additional planning and </w:t>
      </w:r>
      <w:r>
        <w:t>pump station</w:t>
      </w:r>
      <w:r w:rsidRPr="00FA07DC">
        <w:t xml:space="preserve"> diversion are required when isolating force mains for repairs to avoid operational and environmental concerns. There were </w:t>
      </w:r>
      <w:r w:rsidR="009E5CCD">
        <w:t>0</w:t>
      </w:r>
      <w:r w:rsidRPr="00FA07DC">
        <w:t xml:space="preserve"> force main repairs during 2025 for the City.</w:t>
      </w:r>
    </w:p>
    <w:p w14:paraId="6FAD4B39" w14:textId="77777777" w:rsidR="00975250" w:rsidRDefault="00975250" w:rsidP="00975250">
      <w:pPr>
        <w:rPr>
          <w:b/>
        </w:rPr>
      </w:pPr>
      <w:r w:rsidRPr="007664F4">
        <w:t xml:space="preserve">Future operational problems and corrective actions may be located, tracked, and addressed by the City through self-regulated WWQMS requirements including internal audits and top management reviews. </w:t>
      </w:r>
      <w:r w:rsidRPr="00F63F32">
        <w:t>The City completed its 2025 WWQMS Internal Audit on April 8, 2025. The audit was conducted by Acclaims Environmental, an independent third-party auditor, and was supported by the City’s Environmental Services staff. The objective of the audit was to determine whether the City’s WWQMS conformed, where applicable, to the MECP’s DWQMS standard. Through this exercise 0 non-conformances, 5 opportunities for improvement, and 1 staff suggested opportunities for improvement were identified. All opportunities for improvement were documented, followed up on, and resolved by Environmental Services staff.</w:t>
      </w:r>
    </w:p>
    <w:p w14:paraId="662BB5D4" w14:textId="77777777" w:rsidR="00975250" w:rsidRPr="009636ED" w:rsidRDefault="00975250" w:rsidP="00975250">
      <w:pPr>
        <w:rPr>
          <w:b/>
        </w:rPr>
      </w:pPr>
      <w:r w:rsidRPr="009636ED">
        <w:t>The City conducted its 2025 WWQMS Top Management Review on February 3, 2026. The review evaluated the suitability, adequacy, and effectiveness of the City’s WWQMS during 2025.</w:t>
      </w:r>
    </w:p>
    <w:p w14:paraId="35EB640D" w14:textId="77777777" w:rsidR="00975250" w:rsidRPr="009E5CCD" w:rsidRDefault="00975250" w:rsidP="00975250">
      <w:pPr>
        <w:rPr>
          <w:b/>
          <w:bCs/>
        </w:rPr>
      </w:pPr>
      <w:r w:rsidRPr="009E5CCD">
        <w:rPr>
          <w:b/>
          <w:bCs/>
        </w:rPr>
        <w:t>Preventative Maintenance:</w:t>
      </w:r>
    </w:p>
    <w:p w14:paraId="226A1EFE" w14:textId="77777777" w:rsidR="00975250" w:rsidRPr="00C62DA2" w:rsidRDefault="00975250" w:rsidP="00975250">
      <w:pPr>
        <w:rPr>
          <w:b/>
          <w:bCs/>
        </w:rPr>
      </w:pPr>
      <w:r w:rsidRPr="00C62DA2">
        <w:rPr>
          <w:bCs/>
        </w:rPr>
        <w:t xml:space="preserve">The City has established a preventative maintenance schedule to help reduce operational problems before they occur within the Wastewater Collection System. </w:t>
      </w:r>
    </w:p>
    <w:p w14:paraId="5C33A8B3" w14:textId="77777777" w:rsidR="00975250" w:rsidRPr="00301F9C" w:rsidRDefault="00975250" w:rsidP="00975250">
      <w:pPr>
        <w:rPr>
          <w:b/>
          <w:highlight w:val="yellow"/>
        </w:rPr>
      </w:pPr>
      <w:r w:rsidRPr="00C62DA2">
        <w:rPr>
          <w:bCs/>
        </w:rPr>
        <w:t>The City has implemented a weekly flushing program that has Environmental Services staff flush and clear sanitary mains in an organized grid to break up any potential small blockages before they can expand into larger operational problems</w:t>
      </w:r>
      <w:r>
        <w:rPr>
          <w:bCs/>
        </w:rPr>
        <w:t xml:space="preserve">. </w:t>
      </w:r>
      <w:r w:rsidRPr="00541A5D">
        <w:rPr>
          <w:bCs/>
        </w:rPr>
        <w:t xml:space="preserve">The City flushed 92 km (14.07%) of sanitary mains in 2025, down from 147 km (23.55%) in 2024. The City has flushed an average of 18.64% of the </w:t>
      </w:r>
      <w:r>
        <w:rPr>
          <w:bCs/>
        </w:rPr>
        <w:t>Wastewater Collection System per year</w:t>
      </w:r>
      <w:r w:rsidRPr="00541A5D">
        <w:rPr>
          <w:bCs/>
        </w:rPr>
        <w:t xml:space="preserve"> over the past 4 years.</w:t>
      </w:r>
    </w:p>
    <w:p w14:paraId="44DBBE3C" w14:textId="77777777" w:rsidR="00975250" w:rsidRPr="00301F9C" w:rsidRDefault="00975250" w:rsidP="00975250">
      <w:pPr>
        <w:rPr>
          <w:b/>
          <w:highlight w:val="yellow"/>
        </w:rPr>
      </w:pPr>
      <w:r w:rsidRPr="00AA6698">
        <w:t xml:space="preserve">Environmental Services staff perform weekly </w:t>
      </w:r>
      <w:r>
        <w:t>maintenance hole</w:t>
      </w:r>
      <w:r w:rsidRPr="00AA6698">
        <w:t xml:space="preserve"> inspections as part of the Wastewater Collection System’s preventative maintenance schedule. </w:t>
      </w:r>
      <w:r w:rsidRPr="003A63C9">
        <w:t>Of the 8,272 ma</w:t>
      </w:r>
      <w:r>
        <w:t xml:space="preserve">intenance </w:t>
      </w:r>
      <w:r w:rsidRPr="003A63C9">
        <w:t xml:space="preserve">holes within the Wastewater Collection System, Environmental Services staff </w:t>
      </w:r>
      <w:r w:rsidRPr="003A63C9">
        <w:lastRenderedPageBreak/>
        <w:t xml:space="preserve">inspected </w:t>
      </w:r>
      <w:r w:rsidRPr="00BB3879">
        <w:t>4,910 (59%)</w:t>
      </w:r>
      <w:r>
        <w:t xml:space="preserve"> in 2025,</w:t>
      </w:r>
      <w:r w:rsidRPr="00BB3879">
        <w:t xml:space="preserve"> </w:t>
      </w:r>
      <w:r w:rsidRPr="000C506E">
        <w:t>down from 6,298 (76%) inspected in 202</w:t>
      </w:r>
      <w:r>
        <w:t>4</w:t>
      </w:r>
      <w:r w:rsidRPr="000C506E">
        <w:t>.</w:t>
      </w:r>
      <w:r>
        <w:t xml:space="preserve"> </w:t>
      </w:r>
      <w:r w:rsidRPr="00FE0BF8">
        <w:t xml:space="preserve">The City has inspected an average of 67% of </w:t>
      </w:r>
      <w:r>
        <w:t xml:space="preserve">maintenance holes per </w:t>
      </w:r>
      <w:r w:rsidRPr="00FE0BF8">
        <w:t>year over the previous 5 years.</w:t>
      </w:r>
      <w:r w:rsidRPr="000C506E">
        <w:t xml:space="preserve"> These maintenance hole inspections allow Environmental Services staff to assess sanitary flow, observe potential issues within the Wastewater Collection System, and provide information for future works.</w:t>
      </w:r>
    </w:p>
    <w:p w14:paraId="3D1DCA28" w14:textId="77777777" w:rsidR="00975250" w:rsidRDefault="00975250" w:rsidP="00975250">
      <w:pPr>
        <w:rPr>
          <w:b/>
        </w:rPr>
      </w:pPr>
      <w:r w:rsidRPr="000C506E">
        <w:t xml:space="preserve">The integrity of the City’s sanitary pipes is an important aspect of the Wastewater Collection System as the City aims to avoid blockages, leaks, or infiltration events which may cause larger operational problems. CCTV technology allows Environmental Services staff to assess pipe integrity, identify potential issues for future works, and observe blockages without disruption to customers. Environmental Services staff </w:t>
      </w:r>
      <w:r w:rsidRPr="00943E4B">
        <w:t xml:space="preserve">inspected 543 sanitary pipes, or roughly 29.5 km of the City’s Wastewater Collection System, with CCTV cameras </w:t>
      </w:r>
      <w:r w:rsidRPr="00D30C07">
        <w:t>in 2025</w:t>
      </w:r>
      <w:r>
        <w:t>, down from 773 pipes (41.5 km) in 2024</w:t>
      </w:r>
      <w:r w:rsidRPr="00D30C07">
        <w:t xml:space="preserve">. </w:t>
      </w:r>
      <w:r w:rsidRPr="005A758B">
        <w:t>The City has now documented 93% of the wastewater collection system on camera with the help of Environmental Service’s staff.</w:t>
      </w:r>
    </w:p>
    <w:p w14:paraId="3AE12983" w14:textId="77777777" w:rsidR="00975250" w:rsidRPr="00301F9C" w:rsidRDefault="00975250" w:rsidP="00975250">
      <w:pPr>
        <w:rPr>
          <w:b/>
          <w:highlight w:val="yellow"/>
        </w:rPr>
      </w:pPr>
      <w:r w:rsidRPr="00E34FC1">
        <w:t>The City completed 7 total mainline spot repairs on cracked pipes</w:t>
      </w:r>
      <w:r>
        <w:t xml:space="preserve"> in 2025, compared to 9 in 2024. The City completed</w:t>
      </w:r>
      <w:r w:rsidRPr="00E34FC1">
        <w:t xml:space="preserve"> 4 </w:t>
      </w:r>
      <w:r>
        <w:t xml:space="preserve">repairs </w:t>
      </w:r>
      <w:r w:rsidRPr="00E34FC1">
        <w:t xml:space="preserve">in-house, </w:t>
      </w:r>
      <w:r>
        <w:t>with 3 contracted out to third parties.</w:t>
      </w:r>
    </w:p>
    <w:p w14:paraId="6B025D48" w14:textId="77777777" w:rsidR="00975250" w:rsidRPr="009E5CCD" w:rsidRDefault="00975250" w:rsidP="00975250">
      <w:pPr>
        <w:rPr>
          <w:b/>
        </w:rPr>
      </w:pPr>
      <w:r w:rsidRPr="009E5CCD">
        <w:rPr>
          <w:b/>
        </w:rPr>
        <w:t>Customer Feedback:</w:t>
      </w:r>
    </w:p>
    <w:p w14:paraId="54C17310" w14:textId="7C77BB30" w:rsidR="00975250" w:rsidRPr="00C27BA7" w:rsidRDefault="00975250" w:rsidP="00975250">
      <w:pPr>
        <w:rPr>
          <w:b/>
          <w:highlight w:val="yellow"/>
        </w:rPr>
      </w:pPr>
      <w:r w:rsidRPr="006D16E6">
        <w:t xml:space="preserve">Environmental Services staff promptly investigated 208 sanitary service blocks in 2025 compared to 204 in 2024. </w:t>
      </w:r>
      <w:r w:rsidRPr="00E20F3A">
        <w:t xml:space="preserve">The </w:t>
      </w:r>
      <w:r>
        <w:t>sanitary service</w:t>
      </w:r>
      <w:r w:rsidRPr="00E20F3A">
        <w:t xml:space="preserve"> was blocked in 159 of investigations (76%) with 58 (28%) occurring on the </w:t>
      </w:r>
      <w:r>
        <w:t>public side</w:t>
      </w:r>
      <w:r w:rsidRPr="00E20F3A">
        <w:t xml:space="preserve"> of the </w:t>
      </w:r>
      <w:r>
        <w:t>service, requiring further City intervention</w:t>
      </w:r>
      <w:r w:rsidRPr="00E20F3A">
        <w:t xml:space="preserve">. Over the past 5 years 75% of </w:t>
      </w:r>
      <w:r>
        <w:t>blockages</w:t>
      </w:r>
      <w:r w:rsidRPr="00E20F3A">
        <w:t xml:space="preserve"> have been located within the </w:t>
      </w:r>
      <w:r w:rsidR="00F66975">
        <w:t xml:space="preserve">private portion of the </w:t>
      </w:r>
      <w:r>
        <w:t>service</w:t>
      </w:r>
      <w:r w:rsidRPr="00E20F3A">
        <w:t xml:space="preserve">, and 25% of </w:t>
      </w:r>
      <w:r>
        <w:t xml:space="preserve">blockages have been on the public side of the service. </w:t>
      </w:r>
      <w:r w:rsidRPr="00322F78">
        <w:t>Environmental Services staff addressed and helped clear all customer blockages occurring on the public side of the service through a variety of methods including rodding, CCTV inspections, flushing, and if necessary, sanitary service repairs</w:t>
      </w:r>
      <w:r w:rsidRPr="00976CF8">
        <w:t xml:space="preserve">. Over the course of 2025 the City assisted customers with 25 sanitary service repairs, 19 completed by Environmental Services staff, and 6 contracted out to third parties. </w:t>
      </w:r>
      <w:r w:rsidRPr="00431153">
        <w:t>The most common cause for sanitary blocks in 2025 were roots from nearby vegetation (</w:t>
      </w:r>
      <w:r>
        <w:t>25</w:t>
      </w:r>
      <w:r w:rsidRPr="00431153">
        <w:t xml:space="preserve">%), and </w:t>
      </w:r>
      <w:r>
        <w:t>detergents/grease/sludge</w:t>
      </w:r>
      <w:r w:rsidRPr="00431153">
        <w:t xml:space="preserve"> (</w:t>
      </w:r>
      <w:r>
        <w:t>19</w:t>
      </w:r>
      <w:r w:rsidRPr="00431153">
        <w:t>%)</w:t>
      </w:r>
      <w:r>
        <w:t xml:space="preserve"> as seen in </w:t>
      </w:r>
      <w:r w:rsidRPr="009E5CCD">
        <w:rPr>
          <w:b/>
        </w:rPr>
        <w:t>Figure 6</w:t>
      </w:r>
      <w:r>
        <w:t>.</w:t>
      </w:r>
    </w:p>
    <w:p w14:paraId="1C6819D6" w14:textId="77777777" w:rsidR="00975250" w:rsidRDefault="00975250" w:rsidP="00975250">
      <w:pPr>
        <w:rPr>
          <w:b/>
          <w:highlight w:val="yellow"/>
        </w:rPr>
      </w:pPr>
    </w:p>
    <w:p w14:paraId="60B3E53B" w14:textId="4C1786D7" w:rsidR="00975250" w:rsidRPr="009E5CCD" w:rsidRDefault="009E5CCD" w:rsidP="00975250">
      <w:pPr>
        <w:jc w:val="center"/>
        <w:rPr>
          <w:b/>
          <w:highlight w:val="yellow"/>
        </w:rPr>
      </w:pPr>
      <w:r w:rsidRPr="009E5CCD">
        <w:rPr>
          <w:b/>
          <w:noProof/>
        </w:rPr>
        <w:lastRenderedPageBreak/>
        <w:drawing>
          <wp:anchor distT="0" distB="0" distL="114300" distR="114300" simplePos="0" relativeHeight="251657216" behindDoc="0" locked="0" layoutInCell="1" allowOverlap="1" wp14:anchorId="0E70524D" wp14:editId="38E963A5">
            <wp:simplePos x="0" y="0"/>
            <wp:positionH relativeFrom="column">
              <wp:posOffset>-20955</wp:posOffset>
            </wp:positionH>
            <wp:positionV relativeFrom="paragraph">
              <wp:posOffset>264160</wp:posOffset>
            </wp:positionV>
            <wp:extent cx="6344920" cy="4229735"/>
            <wp:effectExtent l="0" t="0" r="17780" b="18415"/>
            <wp:wrapThrough wrapText="bothSides">
              <wp:wrapPolygon edited="0">
                <wp:start x="0" y="0"/>
                <wp:lineTo x="0" y="21597"/>
                <wp:lineTo x="21596" y="21597"/>
                <wp:lineTo x="21596" y="0"/>
                <wp:lineTo x="0" y="0"/>
              </wp:wrapPolygon>
            </wp:wrapThrough>
            <wp:docPr id="1446488244" name="Chart 1" descr="pie graph summarizing reasons for 2025 sanitary blocks">
              <a:extLst xmlns:a="http://schemas.openxmlformats.org/drawingml/2006/main">
                <a:ext uri="{FF2B5EF4-FFF2-40B4-BE49-F238E27FC236}">
                  <a16:creationId xmlns:a16="http://schemas.microsoft.com/office/drawing/2014/main" id="{CF729992-CD47-476D-B695-92C7C53FB7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975250" w:rsidRPr="009E5CCD">
        <w:rPr>
          <w:b/>
        </w:rPr>
        <w:t>Figure 6 – 2025 Sanitary Service Block Causation</w:t>
      </w:r>
    </w:p>
    <w:p w14:paraId="105FA743" w14:textId="77777777" w:rsidR="009E5CCD" w:rsidRDefault="009E5CCD" w:rsidP="00975250"/>
    <w:p w14:paraId="706DF501" w14:textId="5FDDBE6C" w:rsidR="00975250" w:rsidRPr="00B46C3F" w:rsidRDefault="009E5CCD" w:rsidP="00975250">
      <w:pPr>
        <w:rPr>
          <w:b/>
        </w:rPr>
      </w:pPr>
      <w:r w:rsidRPr="00B46C3F">
        <w:t xml:space="preserve">Environmental Services’ staff investigated 21 odour complaints on behalf of City customers in </w:t>
      </w:r>
      <w:r w:rsidR="00975250" w:rsidRPr="00B46C3F">
        <w:t>2025, compared to 19 in 2024, with 1 complaint requiring additional flushing within the Wastewater Collection System to remedy the issue. Explanations of potential causes, along with advice for remedial actions are provided to homeowners with each investigation.</w:t>
      </w:r>
    </w:p>
    <w:p w14:paraId="455D08C5" w14:textId="77777777" w:rsidR="00975250" w:rsidRDefault="00975250" w:rsidP="00975250">
      <w:pPr>
        <w:rPr>
          <w:b/>
        </w:rPr>
      </w:pPr>
      <w:r w:rsidRPr="003E4258">
        <w:t>Commercial and industrial facilities may be eligible for participation in the City’s sewer rebate program which reduces their wastewater charges where process water is not directed to the collection system. For example, volumes of water that leave a facility in the form of steam to the atmosphere may be measured and refunded to a business.</w:t>
      </w:r>
      <w:r w:rsidRPr="003E4258">
        <w:br/>
        <w:t>In 2025 the City provided 8 sewer rebates to customers for a total bill reduction of over $52,000.</w:t>
      </w:r>
    </w:p>
    <w:p w14:paraId="1D264C81" w14:textId="77777777" w:rsidR="00975250" w:rsidRPr="003E4258" w:rsidRDefault="00975250" w:rsidP="00975250">
      <w:pPr>
        <w:rPr>
          <w:b/>
        </w:rPr>
      </w:pPr>
      <w:r>
        <w:t>Public communication can increase public knowledge, helping improve the integrity of the Wastewater Collection System. The City provided information regarding the prevention of Fats, Oils, and Greases (FOG) within the Wastewater Collection System during the May 24, 2025 Public Works Open House, and reiterated the message during a radio campaign during the month of June 2025.</w:t>
      </w:r>
    </w:p>
    <w:p w14:paraId="6151A9A8" w14:textId="77777777" w:rsidR="00975250" w:rsidRPr="009E5CCD" w:rsidRDefault="00975250" w:rsidP="00975250">
      <w:pPr>
        <w:rPr>
          <w:b/>
        </w:rPr>
      </w:pPr>
      <w:r w:rsidRPr="009E5CCD">
        <w:rPr>
          <w:b/>
        </w:rPr>
        <w:lastRenderedPageBreak/>
        <w:t>System Alterations:</w:t>
      </w:r>
    </w:p>
    <w:p w14:paraId="14E68619" w14:textId="77777777" w:rsidR="00975250" w:rsidRDefault="00975250" w:rsidP="00975250">
      <w:pPr>
        <w:rPr>
          <w:b/>
        </w:rPr>
      </w:pPr>
      <w:r w:rsidRPr="00D2002F">
        <w:t xml:space="preserve">There were </w:t>
      </w:r>
      <w:r>
        <w:t>8</w:t>
      </w:r>
      <w:r w:rsidRPr="00D2002F">
        <w:t xml:space="preserve"> projects involving modifications to the wastewater system were evaluated through the City’s CLI-ECA process in 2025</w:t>
      </w:r>
      <w:r>
        <w:t xml:space="preserve"> as seen in </w:t>
      </w:r>
      <w:r w:rsidRPr="009E5CCD">
        <w:rPr>
          <w:b/>
        </w:rPr>
        <w:t>Figure 7</w:t>
      </w:r>
      <w:r w:rsidRPr="00D2002F">
        <w:t>. Reviews are performed through collaboration between Environmental Services and Engineering departments, and projects required explicit approval before proceeding.</w:t>
      </w:r>
    </w:p>
    <w:p w14:paraId="6AB32E6B" w14:textId="77777777" w:rsidR="00975250" w:rsidRPr="009E5CCD" w:rsidRDefault="00975250" w:rsidP="00975250">
      <w:pPr>
        <w:jc w:val="center"/>
        <w:rPr>
          <w:b/>
        </w:rPr>
      </w:pPr>
      <w:r w:rsidRPr="009E5CCD">
        <w:rPr>
          <w:b/>
        </w:rPr>
        <w:t>Figure 7 – Wastewater Collection System Alterations</w:t>
      </w:r>
    </w:p>
    <w:tbl>
      <w:tblPr>
        <w:tblStyle w:val="TableGrid"/>
        <w:tblW w:w="10350" w:type="dxa"/>
        <w:tblInd w:w="-342" w:type="dxa"/>
        <w:tblLook w:val="04A0" w:firstRow="1" w:lastRow="0" w:firstColumn="1" w:lastColumn="0" w:noHBand="0" w:noVBand="1"/>
        <w:tblCaption w:val="Wastewater Collection System Alterations"/>
        <w:tblDescription w:val="various projects that have gone through the wastewater collection system alteration process."/>
      </w:tblPr>
      <w:tblGrid>
        <w:gridCol w:w="1377"/>
        <w:gridCol w:w="1953"/>
        <w:gridCol w:w="3464"/>
        <w:gridCol w:w="1757"/>
        <w:gridCol w:w="1799"/>
      </w:tblGrid>
      <w:tr w:rsidR="00975250" w14:paraId="78A7E330" w14:textId="77777777" w:rsidTr="00462DCE">
        <w:trPr>
          <w:cantSplit/>
          <w:tblHeader/>
        </w:trPr>
        <w:tc>
          <w:tcPr>
            <w:tcW w:w="1377" w:type="dxa"/>
          </w:tcPr>
          <w:p w14:paraId="7708A7B1" w14:textId="77777777" w:rsidR="00975250" w:rsidRPr="00913893" w:rsidRDefault="00975250" w:rsidP="00462DCE">
            <w:pPr>
              <w:spacing w:after="120" w:line="276" w:lineRule="auto"/>
              <w:rPr>
                <w:b/>
                <w:bCs/>
              </w:rPr>
            </w:pPr>
            <w:r w:rsidRPr="00913893">
              <w:rPr>
                <w:b/>
                <w:bCs/>
              </w:rPr>
              <w:t>Reference Number</w:t>
            </w:r>
          </w:p>
        </w:tc>
        <w:tc>
          <w:tcPr>
            <w:tcW w:w="1953" w:type="dxa"/>
          </w:tcPr>
          <w:p w14:paraId="221635ED" w14:textId="77777777" w:rsidR="00975250" w:rsidRPr="00913893" w:rsidRDefault="00975250" w:rsidP="00462DCE">
            <w:pPr>
              <w:spacing w:after="120" w:line="276" w:lineRule="auto"/>
              <w:rPr>
                <w:b/>
                <w:bCs/>
              </w:rPr>
            </w:pPr>
            <w:r w:rsidRPr="00913893">
              <w:rPr>
                <w:b/>
                <w:bCs/>
              </w:rPr>
              <w:t>Project Name</w:t>
            </w:r>
          </w:p>
        </w:tc>
        <w:tc>
          <w:tcPr>
            <w:tcW w:w="3464" w:type="dxa"/>
          </w:tcPr>
          <w:p w14:paraId="491F8C0E" w14:textId="77777777" w:rsidR="00975250" w:rsidRPr="00913893" w:rsidRDefault="00975250" w:rsidP="00462DCE">
            <w:pPr>
              <w:spacing w:after="120" w:line="276" w:lineRule="auto"/>
              <w:rPr>
                <w:b/>
                <w:bCs/>
              </w:rPr>
            </w:pPr>
            <w:r w:rsidRPr="00913893">
              <w:rPr>
                <w:b/>
                <w:bCs/>
              </w:rPr>
              <w:t>Description</w:t>
            </w:r>
          </w:p>
        </w:tc>
        <w:tc>
          <w:tcPr>
            <w:tcW w:w="1757" w:type="dxa"/>
          </w:tcPr>
          <w:p w14:paraId="5A4CCF73" w14:textId="77777777" w:rsidR="00975250" w:rsidRPr="00913893" w:rsidRDefault="00975250" w:rsidP="00462DCE">
            <w:pPr>
              <w:spacing w:after="120" w:line="276" w:lineRule="auto"/>
              <w:rPr>
                <w:b/>
                <w:bCs/>
              </w:rPr>
            </w:pPr>
            <w:r w:rsidRPr="00913893">
              <w:rPr>
                <w:b/>
                <w:bCs/>
              </w:rPr>
              <w:t>Project Address</w:t>
            </w:r>
          </w:p>
        </w:tc>
        <w:tc>
          <w:tcPr>
            <w:tcW w:w="1799" w:type="dxa"/>
          </w:tcPr>
          <w:p w14:paraId="4FBF4ADD" w14:textId="77777777" w:rsidR="00975250" w:rsidRPr="00913893" w:rsidRDefault="00975250" w:rsidP="00462DCE">
            <w:pPr>
              <w:spacing w:after="120" w:line="276" w:lineRule="auto"/>
              <w:rPr>
                <w:b/>
                <w:bCs/>
              </w:rPr>
            </w:pPr>
            <w:r w:rsidRPr="00913893">
              <w:rPr>
                <w:b/>
                <w:bCs/>
              </w:rPr>
              <w:t>Significant Drinking Water Threat</w:t>
            </w:r>
          </w:p>
        </w:tc>
      </w:tr>
      <w:tr w:rsidR="00975250" w14:paraId="380DD336" w14:textId="77777777" w:rsidTr="00462DCE">
        <w:trPr>
          <w:cantSplit/>
        </w:trPr>
        <w:tc>
          <w:tcPr>
            <w:tcW w:w="1377" w:type="dxa"/>
          </w:tcPr>
          <w:p w14:paraId="5BC39FA6" w14:textId="77777777" w:rsidR="00975250" w:rsidRPr="006548D8" w:rsidRDefault="00975250" w:rsidP="00462DCE">
            <w:pPr>
              <w:rPr>
                <w:b/>
                <w:bCs/>
              </w:rPr>
            </w:pPr>
            <w:r>
              <w:rPr>
                <w:bCs/>
              </w:rPr>
              <w:t>2024-08</w:t>
            </w:r>
          </w:p>
        </w:tc>
        <w:tc>
          <w:tcPr>
            <w:tcW w:w="1953" w:type="dxa"/>
            <w:tcBorders>
              <w:top w:val="single" w:sz="4" w:space="0" w:color="000000"/>
              <w:left w:val="single" w:sz="4" w:space="0" w:color="000000"/>
              <w:bottom w:val="nil"/>
              <w:right w:val="single" w:sz="4" w:space="0" w:color="000000"/>
            </w:tcBorders>
          </w:tcPr>
          <w:p w14:paraId="7AD07CD7" w14:textId="77777777" w:rsidR="00975250" w:rsidRPr="006548D8" w:rsidRDefault="00975250" w:rsidP="00462DCE">
            <w:pPr>
              <w:rPr>
                <w:rFonts w:cs="Arial"/>
                <w:b/>
                <w:bCs/>
                <w:szCs w:val="24"/>
              </w:rPr>
            </w:pPr>
            <w:r>
              <w:rPr>
                <w:rFonts w:cs="Arial"/>
                <w:bCs/>
                <w:szCs w:val="24"/>
              </w:rPr>
              <w:t>Middle Block Road</w:t>
            </w:r>
          </w:p>
        </w:tc>
        <w:tc>
          <w:tcPr>
            <w:tcW w:w="3464" w:type="dxa"/>
            <w:tcBorders>
              <w:top w:val="single" w:sz="4" w:space="0" w:color="000000"/>
              <w:left w:val="nil"/>
              <w:bottom w:val="nil"/>
              <w:right w:val="single" w:sz="4" w:space="0" w:color="000000"/>
            </w:tcBorders>
          </w:tcPr>
          <w:p w14:paraId="2B5246A2" w14:textId="77777777" w:rsidR="00975250" w:rsidRPr="006548D8" w:rsidRDefault="00975250" w:rsidP="00462DCE">
            <w:pPr>
              <w:rPr>
                <w:rFonts w:cs="Arial"/>
                <w:b/>
                <w:bCs/>
                <w:szCs w:val="24"/>
              </w:rPr>
            </w:pPr>
            <w:r>
              <w:rPr>
                <w:rFonts w:cs="Arial"/>
                <w:bCs/>
                <w:szCs w:val="24"/>
              </w:rPr>
              <w:t>Addition of trunk sanitary main from Fountain St to Intermarket Rd</w:t>
            </w:r>
          </w:p>
        </w:tc>
        <w:tc>
          <w:tcPr>
            <w:tcW w:w="1757" w:type="dxa"/>
            <w:tcBorders>
              <w:top w:val="single" w:sz="4" w:space="0" w:color="000000"/>
              <w:left w:val="nil"/>
              <w:bottom w:val="nil"/>
              <w:right w:val="single" w:sz="4" w:space="0" w:color="000000"/>
            </w:tcBorders>
          </w:tcPr>
          <w:p w14:paraId="0E6C7884" w14:textId="77777777" w:rsidR="00975250" w:rsidRPr="006548D8" w:rsidRDefault="00975250" w:rsidP="00462DCE">
            <w:pPr>
              <w:rPr>
                <w:rFonts w:cs="Arial"/>
                <w:b/>
                <w:bCs/>
                <w:szCs w:val="24"/>
              </w:rPr>
            </w:pPr>
            <w:r>
              <w:rPr>
                <w:rFonts w:cs="Arial"/>
                <w:bCs/>
                <w:szCs w:val="24"/>
              </w:rPr>
              <w:t>Middle Block Road</w:t>
            </w:r>
          </w:p>
        </w:tc>
        <w:tc>
          <w:tcPr>
            <w:tcW w:w="1799" w:type="dxa"/>
          </w:tcPr>
          <w:p w14:paraId="72581440" w14:textId="77777777" w:rsidR="00975250" w:rsidRPr="006548D8" w:rsidRDefault="00975250" w:rsidP="00462DCE">
            <w:pPr>
              <w:rPr>
                <w:b/>
                <w:bCs/>
              </w:rPr>
            </w:pPr>
            <w:r>
              <w:rPr>
                <w:bCs/>
              </w:rPr>
              <w:t>No</w:t>
            </w:r>
          </w:p>
        </w:tc>
      </w:tr>
      <w:tr w:rsidR="00975250" w14:paraId="403B687D" w14:textId="77777777" w:rsidTr="00462DCE">
        <w:trPr>
          <w:cantSplit/>
        </w:trPr>
        <w:tc>
          <w:tcPr>
            <w:tcW w:w="1377" w:type="dxa"/>
            <w:tcBorders>
              <w:bottom w:val="single" w:sz="4" w:space="0" w:color="auto"/>
            </w:tcBorders>
          </w:tcPr>
          <w:p w14:paraId="056C911E" w14:textId="77777777" w:rsidR="00975250" w:rsidRPr="006548D8" w:rsidRDefault="00975250" w:rsidP="00462DCE">
            <w:pPr>
              <w:spacing w:after="120" w:line="276" w:lineRule="auto"/>
              <w:rPr>
                <w:b/>
                <w:bCs/>
              </w:rPr>
            </w:pPr>
            <w:r w:rsidRPr="006548D8">
              <w:rPr>
                <w:bCs/>
              </w:rPr>
              <w:t>2024-09</w:t>
            </w:r>
          </w:p>
        </w:tc>
        <w:tc>
          <w:tcPr>
            <w:tcW w:w="1953" w:type="dxa"/>
            <w:tcBorders>
              <w:top w:val="single" w:sz="4" w:space="0" w:color="000000"/>
              <w:left w:val="single" w:sz="4" w:space="0" w:color="000000"/>
              <w:bottom w:val="single" w:sz="4" w:space="0" w:color="auto"/>
              <w:right w:val="single" w:sz="4" w:space="0" w:color="000000"/>
            </w:tcBorders>
          </w:tcPr>
          <w:p w14:paraId="3107DEDA" w14:textId="77777777" w:rsidR="00975250" w:rsidRPr="006548D8" w:rsidRDefault="00975250" w:rsidP="00462DCE">
            <w:pPr>
              <w:spacing w:after="120" w:line="276" w:lineRule="auto"/>
              <w:rPr>
                <w:rFonts w:cs="Arial"/>
                <w:b/>
                <w:bCs/>
                <w:szCs w:val="24"/>
              </w:rPr>
            </w:pPr>
            <w:r w:rsidRPr="006548D8">
              <w:rPr>
                <w:rFonts w:cs="Arial"/>
                <w:bCs/>
                <w:szCs w:val="24"/>
              </w:rPr>
              <w:t>Capital Project A-00997-40 – Cooper St Reconstruction</w:t>
            </w:r>
          </w:p>
        </w:tc>
        <w:tc>
          <w:tcPr>
            <w:tcW w:w="3464" w:type="dxa"/>
            <w:tcBorders>
              <w:top w:val="single" w:sz="4" w:space="0" w:color="000000"/>
              <w:left w:val="nil"/>
              <w:bottom w:val="single" w:sz="4" w:space="0" w:color="auto"/>
              <w:right w:val="single" w:sz="4" w:space="0" w:color="000000"/>
            </w:tcBorders>
          </w:tcPr>
          <w:p w14:paraId="15FD1874" w14:textId="77777777" w:rsidR="00975250" w:rsidRPr="006548D8" w:rsidRDefault="00975250" w:rsidP="00462DCE">
            <w:pPr>
              <w:spacing w:after="120" w:line="276" w:lineRule="auto"/>
              <w:rPr>
                <w:rFonts w:cs="Arial"/>
                <w:b/>
                <w:bCs/>
                <w:szCs w:val="24"/>
              </w:rPr>
            </w:pPr>
            <w:r w:rsidRPr="006548D8">
              <w:rPr>
                <w:rFonts w:cs="Arial"/>
                <w:bCs/>
                <w:szCs w:val="24"/>
              </w:rPr>
              <w:t xml:space="preserve">Full reconstruction of Cooper St. including the replacement of existing </w:t>
            </w:r>
            <w:r>
              <w:rPr>
                <w:rFonts w:cs="Arial"/>
                <w:bCs/>
                <w:szCs w:val="24"/>
              </w:rPr>
              <w:t>sanitary</w:t>
            </w:r>
            <w:r w:rsidRPr="006548D8">
              <w:rPr>
                <w:rFonts w:cs="Arial"/>
                <w:bCs/>
                <w:szCs w:val="24"/>
              </w:rPr>
              <w:t xml:space="preserve"> sewers. </w:t>
            </w:r>
          </w:p>
        </w:tc>
        <w:tc>
          <w:tcPr>
            <w:tcW w:w="1757" w:type="dxa"/>
            <w:tcBorders>
              <w:top w:val="single" w:sz="4" w:space="0" w:color="000000"/>
              <w:left w:val="nil"/>
              <w:bottom w:val="single" w:sz="4" w:space="0" w:color="auto"/>
              <w:right w:val="single" w:sz="4" w:space="0" w:color="000000"/>
            </w:tcBorders>
          </w:tcPr>
          <w:p w14:paraId="299FEA04" w14:textId="77777777" w:rsidR="00975250" w:rsidRPr="006548D8" w:rsidRDefault="00975250" w:rsidP="00462DCE">
            <w:pPr>
              <w:spacing w:after="120" w:line="276" w:lineRule="auto"/>
              <w:rPr>
                <w:rFonts w:cs="Arial"/>
                <w:b/>
                <w:bCs/>
                <w:szCs w:val="24"/>
              </w:rPr>
            </w:pPr>
            <w:r w:rsidRPr="006548D8">
              <w:rPr>
                <w:rFonts w:cs="Arial"/>
                <w:bCs/>
                <w:szCs w:val="24"/>
              </w:rPr>
              <w:t>Cooper St</w:t>
            </w:r>
          </w:p>
        </w:tc>
        <w:tc>
          <w:tcPr>
            <w:tcW w:w="1799" w:type="dxa"/>
            <w:tcBorders>
              <w:bottom w:val="single" w:sz="4" w:space="0" w:color="auto"/>
            </w:tcBorders>
          </w:tcPr>
          <w:p w14:paraId="76E1670E" w14:textId="77777777" w:rsidR="00975250" w:rsidRPr="006548D8" w:rsidRDefault="00975250" w:rsidP="00462DCE">
            <w:pPr>
              <w:spacing w:after="120" w:line="276" w:lineRule="auto"/>
              <w:rPr>
                <w:b/>
                <w:bCs/>
              </w:rPr>
            </w:pPr>
            <w:r w:rsidRPr="006548D8">
              <w:rPr>
                <w:bCs/>
              </w:rPr>
              <w:t>No</w:t>
            </w:r>
          </w:p>
        </w:tc>
      </w:tr>
      <w:tr w:rsidR="00975250" w14:paraId="207E9A2C" w14:textId="77777777" w:rsidTr="00462DCE">
        <w:trPr>
          <w:cantSplit/>
        </w:trPr>
        <w:tc>
          <w:tcPr>
            <w:tcW w:w="1377" w:type="dxa"/>
            <w:tcBorders>
              <w:top w:val="single" w:sz="4" w:space="0" w:color="auto"/>
              <w:bottom w:val="single" w:sz="4" w:space="0" w:color="auto"/>
              <w:right w:val="single" w:sz="4" w:space="0" w:color="auto"/>
            </w:tcBorders>
          </w:tcPr>
          <w:p w14:paraId="42246C89" w14:textId="77777777" w:rsidR="00975250" w:rsidRPr="006548D8" w:rsidRDefault="00975250" w:rsidP="00462DCE">
            <w:pPr>
              <w:rPr>
                <w:b/>
                <w:bCs/>
              </w:rPr>
            </w:pPr>
            <w:r>
              <w:rPr>
                <w:bCs/>
              </w:rPr>
              <w:t>2024-10</w:t>
            </w:r>
          </w:p>
        </w:tc>
        <w:tc>
          <w:tcPr>
            <w:tcW w:w="1953" w:type="dxa"/>
            <w:tcBorders>
              <w:top w:val="single" w:sz="4" w:space="0" w:color="auto"/>
              <w:left w:val="single" w:sz="4" w:space="0" w:color="auto"/>
              <w:bottom w:val="single" w:sz="4" w:space="0" w:color="auto"/>
              <w:right w:val="single" w:sz="4" w:space="0" w:color="auto"/>
            </w:tcBorders>
          </w:tcPr>
          <w:p w14:paraId="0A64978B" w14:textId="77777777" w:rsidR="00975250" w:rsidRPr="006548D8" w:rsidRDefault="00975250" w:rsidP="00462DCE">
            <w:pPr>
              <w:rPr>
                <w:rFonts w:cs="Arial"/>
                <w:b/>
                <w:bCs/>
                <w:szCs w:val="24"/>
              </w:rPr>
            </w:pPr>
            <w:r>
              <w:rPr>
                <w:rFonts w:cs="Arial"/>
                <w:bCs/>
                <w:szCs w:val="24"/>
              </w:rPr>
              <w:t>King St Pump Station</w:t>
            </w:r>
          </w:p>
        </w:tc>
        <w:tc>
          <w:tcPr>
            <w:tcW w:w="3464" w:type="dxa"/>
            <w:tcBorders>
              <w:top w:val="single" w:sz="4" w:space="0" w:color="auto"/>
              <w:left w:val="single" w:sz="4" w:space="0" w:color="auto"/>
              <w:bottom w:val="single" w:sz="4" w:space="0" w:color="auto"/>
              <w:right w:val="single" w:sz="4" w:space="0" w:color="auto"/>
            </w:tcBorders>
          </w:tcPr>
          <w:p w14:paraId="501665D2" w14:textId="77777777" w:rsidR="00975250" w:rsidRPr="006548D8" w:rsidRDefault="00975250" w:rsidP="00462DCE">
            <w:pPr>
              <w:rPr>
                <w:rFonts w:cs="Arial"/>
                <w:b/>
                <w:bCs/>
                <w:szCs w:val="24"/>
              </w:rPr>
            </w:pPr>
            <w:r>
              <w:rPr>
                <w:rFonts w:cs="Arial"/>
                <w:bCs/>
                <w:szCs w:val="24"/>
              </w:rPr>
              <w:t>C</w:t>
            </w:r>
            <w:r w:rsidRPr="00DC410A">
              <w:rPr>
                <w:rFonts w:cs="Arial"/>
                <w:bCs/>
                <w:szCs w:val="24"/>
              </w:rPr>
              <w:t>omplete rebuild including foundational repairs to the pump station and wet well, as well as new wet well pumps, piping, valving, electrical controls, amongst other minor additions</w:t>
            </w:r>
          </w:p>
        </w:tc>
        <w:tc>
          <w:tcPr>
            <w:tcW w:w="1757" w:type="dxa"/>
            <w:tcBorders>
              <w:top w:val="single" w:sz="4" w:space="0" w:color="auto"/>
              <w:left w:val="single" w:sz="4" w:space="0" w:color="auto"/>
              <w:bottom w:val="single" w:sz="4" w:space="0" w:color="auto"/>
              <w:right w:val="single" w:sz="4" w:space="0" w:color="auto"/>
            </w:tcBorders>
          </w:tcPr>
          <w:p w14:paraId="064CF738" w14:textId="77777777" w:rsidR="00975250" w:rsidRPr="006548D8" w:rsidRDefault="00975250" w:rsidP="00462DCE">
            <w:pPr>
              <w:rPr>
                <w:rFonts w:cs="Arial"/>
                <w:b/>
                <w:bCs/>
                <w:szCs w:val="24"/>
              </w:rPr>
            </w:pPr>
            <w:r>
              <w:rPr>
                <w:rFonts w:cs="Arial"/>
                <w:bCs/>
                <w:szCs w:val="24"/>
              </w:rPr>
              <w:t>200 King St W</w:t>
            </w:r>
          </w:p>
        </w:tc>
        <w:tc>
          <w:tcPr>
            <w:tcW w:w="1799" w:type="dxa"/>
            <w:tcBorders>
              <w:top w:val="single" w:sz="4" w:space="0" w:color="auto"/>
              <w:left w:val="single" w:sz="4" w:space="0" w:color="auto"/>
              <w:bottom w:val="single" w:sz="4" w:space="0" w:color="auto"/>
            </w:tcBorders>
          </w:tcPr>
          <w:p w14:paraId="51B4CF39" w14:textId="77777777" w:rsidR="00975250" w:rsidRPr="006548D8" w:rsidRDefault="00975250" w:rsidP="00462DCE">
            <w:pPr>
              <w:rPr>
                <w:b/>
                <w:bCs/>
              </w:rPr>
            </w:pPr>
            <w:r>
              <w:rPr>
                <w:bCs/>
              </w:rPr>
              <w:t>No</w:t>
            </w:r>
          </w:p>
        </w:tc>
      </w:tr>
      <w:tr w:rsidR="00975250" w:rsidRPr="00097ECA" w14:paraId="0A3B7434" w14:textId="77777777" w:rsidTr="00462DCE">
        <w:trPr>
          <w:cantSplit/>
        </w:trPr>
        <w:tc>
          <w:tcPr>
            <w:tcW w:w="1377" w:type="dxa"/>
            <w:tcBorders>
              <w:top w:val="single" w:sz="4" w:space="0" w:color="auto"/>
            </w:tcBorders>
          </w:tcPr>
          <w:p w14:paraId="33ED4302" w14:textId="77777777" w:rsidR="00975250" w:rsidRPr="006548D8" w:rsidRDefault="00975250" w:rsidP="00462DCE">
            <w:pPr>
              <w:spacing w:after="120" w:line="276" w:lineRule="auto"/>
              <w:rPr>
                <w:b/>
                <w:bCs/>
                <w:szCs w:val="24"/>
              </w:rPr>
            </w:pPr>
            <w:r w:rsidRPr="006548D8">
              <w:rPr>
                <w:bCs/>
                <w:szCs w:val="24"/>
              </w:rPr>
              <w:t>2025-01</w:t>
            </w:r>
          </w:p>
        </w:tc>
        <w:tc>
          <w:tcPr>
            <w:tcW w:w="1953" w:type="dxa"/>
            <w:tcBorders>
              <w:top w:val="single" w:sz="4" w:space="0" w:color="auto"/>
            </w:tcBorders>
          </w:tcPr>
          <w:p w14:paraId="30305FF8" w14:textId="77777777" w:rsidR="00975250" w:rsidRPr="006548D8" w:rsidRDefault="00975250" w:rsidP="00462DCE">
            <w:pPr>
              <w:spacing w:after="120" w:line="276" w:lineRule="auto"/>
              <w:rPr>
                <w:rFonts w:cs="Arial"/>
                <w:b/>
                <w:bCs/>
                <w:szCs w:val="24"/>
              </w:rPr>
            </w:pPr>
            <w:r w:rsidRPr="006548D8">
              <w:rPr>
                <w:rFonts w:cs="Arial"/>
                <w:bCs/>
                <w:color w:val="000000"/>
                <w:szCs w:val="24"/>
              </w:rPr>
              <w:t>Model At Main Subdivision</w:t>
            </w:r>
          </w:p>
        </w:tc>
        <w:tc>
          <w:tcPr>
            <w:tcW w:w="3464" w:type="dxa"/>
            <w:tcBorders>
              <w:top w:val="single" w:sz="4" w:space="0" w:color="auto"/>
            </w:tcBorders>
          </w:tcPr>
          <w:p w14:paraId="4ADE886E" w14:textId="77777777" w:rsidR="00975250" w:rsidRPr="006548D8" w:rsidRDefault="00975250" w:rsidP="00462DCE">
            <w:pPr>
              <w:spacing w:after="120" w:line="276" w:lineRule="auto"/>
              <w:rPr>
                <w:rFonts w:eastAsiaTheme="minorHAnsi" w:cs="Arial"/>
                <w:b/>
                <w:bCs/>
                <w:color w:val="000000"/>
                <w:szCs w:val="24"/>
              </w:rPr>
            </w:pPr>
            <w:r w:rsidRPr="006548D8">
              <w:rPr>
                <w:rFonts w:cs="Arial"/>
                <w:bCs/>
                <w:color w:val="000000"/>
                <w:szCs w:val="24"/>
              </w:rPr>
              <w:t xml:space="preserve">Addition of </w:t>
            </w:r>
            <w:r>
              <w:rPr>
                <w:rFonts w:cs="Arial"/>
                <w:bCs/>
                <w:color w:val="000000"/>
                <w:szCs w:val="24"/>
              </w:rPr>
              <w:t>sanitary sewers</w:t>
            </w:r>
            <w:r w:rsidRPr="006548D8">
              <w:rPr>
                <w:rFonts w:cs="Arial"/>
                <w:bCs/>
                <w:color w:val="000000"/>
                <w:szCs w:val="24"/>
              </w:rPr>
              <w:t xml:space="preserve"> within Phase 1 of a new development subdivision.</w:t>
            </w:r>
          </w:p>
        </w:tc>
        <w:tc>
          <w:tcPr>
            <w:tcW w:w="1757" w:type="dxa"/>
            <w:tcBorders>
              <w:top w:val="single" w:sz="4" w:space="0" w:color="auto"/>
            </w:tcBorders>
          </w:tcPr>
          <w:p w14:paraId="5624CDE9" w14:textId="77777777" w:rsidR="00975250" w:rsidRPr="006548D8" w:rsidRDefault="00975250" w:rsidP="00462DCE">
            <w:pPr>
              <w:spacing w:after="120" w:line="276" w:lineRule="auto"/>
              <w:rPr>
                <w:rFonts w:cs="Arial"/>
                <w:b/>
                <w:bCs/>
                <w:color w:val="000000"/>
                <w:szCs w:val="24"/>
              </w:rPr>
            </w:pPr>
            <w:r w:rsidRPr="006548D8">
              <w:rPr>
                <w:rFonts w:cs="Arial"/>
                <w:bCs/>
                <w:color w:val="000000"/>
                <w:szCs w:val="24"/>
              </w:rPr>
              <w:t>840 &amp; 940 Main St E</w:t>
            </w:r>
          </w:p>
          <w:p w14:paraId="5CFC3757" w14:textId="77777777" w:rsidR="00975250" w:rsidRPr="006548D8" w:rsidRDefault="00975250" w:rsidP="00462DCE">
            <w:pPr>
              <w:spacing w:after="120" w:line="276" w:lineRule="auto"/>
              <w:rPr>
                <w:rFonts w:cs="Arial"/>
                <w:b/>
                <w:bCs/>
                <w:szCs w:val="24"/>
              </w:rPr>
            </w:pPr>
            <w:r w:rsidRPr="006548D8">
              <w:rPr>
                <w:rFonts w:cs="Arial"/>
                <w:bCs/>
                <w:color w:val="000000"/>
                <w:szCs w:val="24"/>
              </w:rPr>
              <w:br/>
              <w:t>345 Franklin Blvd</w:t>
            </w:r>
          </w:p>
        </w:tc>
        <w:tc>
          <w:tcPr>
            <w:tcW w:w="1799" w:type="dxa"/>
            <w:tcBorders>
              <w:top w:val="single" w:sz="4" w:space="0" w:color="auto"/>
            </w:tcBorders>
          </w:tcPr>
          <w:p w14:paraId="52E3DA53" w14:textId="77777777" w:rsidR="00975250" w:rsidRPr="006548D8" w:rsidRDefault="00975250" w:rsidP="00462DCE">
            <w:pPr>
              <w:spacing w:after="120" w:line="276" w:lineRule="auto"/>
              <w:rPr>
                <w:b/>
                <w:bCs/>
                <w:szCs w:val="24"/>
              </w:rPr>
            </w:pPr>
            <w:r w:rsidRPr="006548D8">
              <w:rPr>
                <w:bCs/>
                <w:szCs w:val="24"/>
              </w:rPr>
              <w:t>No</w:t>
            </w:r>
          </w:p>
        </w:tc>
      </w:tr>
      <w:tr w:rsidR="00975250" w:rsidRPr="00097ECA" w14:paraId="3AB67B3D" w14:textId="77777777" w:rsidTr="00462DCE">
        <w:trPr>
          <w:cantSplit/>
        </w:trPr>
        <w:tc>
          <w:tcPr>
            <w:tcW w:w="1377" w:type="dxa"/>
          </w:tcPr>
          <w:p w14:paraId="25E59E66" w14:textId="77777777" w:rsidR="00975250" w:rsidRPr="006548D8" w:rsidRDefault="00975250" w:rsidP="00462DCE">
            <w:pPr>
              <w:spacing w:after="120" w:line="276" w:lineRule="auto"/>
              <w:rPr>
                <w:b/>
                <w:bCs/>
                <w:szCs w:val="24"/>
              </w:rPr>
            </w:pPr>
            <w:r w:rsidRPr="006548D8">
              <w:rPr>
                <w:bCs/>
                <w:szCs w:val="24"/>
              </w:rPr>
              <w:t>2025-02</w:t>
            </w:r>
          </w:p>
        </w:tc>
        <w:tc>
          <w:tcPr>
            <w:tcW w:w="1953" w:type="dxa"/>
          </w:tcPr>
          <w:p w14:paraId="74FA68AC" w14:textId="77777777" w:rsidR="00975250" w:rsidRDefault="00975250" w:rsidP="00462DCE">
            <w:pPr>
              <w:spacing w:after="120" w:line="276" w:lineRule="auto"/>
              <w:rPr>
                <w:rFonts w:cs="Arial"/>
                <w:b/>
                <w:bCs/>
                <w:color w:val="000000"/>
                <w:szCs w:val="24"/>
              </w:rPr>
            </w:pPr>
            <w:r w:rsidRPr="006548D8">
              <w:rPr>
                <w:rFonts w:cs="Arial"/>
                <w:bCs/>
                <w:color w:val="000000"/>
                <w:szCs w:val="24"/>
              </w:rPr>
              <w:t>River Mill</w:t>
            </w:r>
          </w:p>
          <w:p w14:paraId="458E8279" w14:textId="77777777" w:rsidR="00975250" w:rsidRPr="006548D8" w:rsidRDefault="00975250" w:rsidP="00462DCE">
            <w:pPr>
              <w:spacing w:after="120" w:line="276" w:lineRule="auto"/>
              <w:rPr>
                <w:rFonts w:cs="Arial"/>
                <w:b/>
                <w:bCs/>
                <w:szCs w:val="24"/>
              </w:rPr>
            </w:pPr>
            <w:r w:rsidRPr="006548D8">
              <w:rPr>
                <w:rFonts w:cs="Arial"/>
                <w:bCs/>
                <w:color w:val="000000"/>
                <w:szCs w:val="24"/>
              </w:rPr>
              <w:t>Phase 5</w:t>
            </w:r>
          </w:p>
        </w:tc>
        <w:tc>
          <w:tcPr>
            <w:tcW w:w="3464" w:type="dxa"/>
          </w:tcPr>
          <w:p w14:paraId="07303CB1" w14:textId="77777777" w:rsidR="00975250" w:rsidRPr="006548D8" w:rsidRDefault="00975250" w:rsidP="00462DCE">
            <w:pPr>
              <w:spacing w:after="120" w:line="276" w:lineRule="auto"/>
              <w:rPr>
                <w:rFonts w:cs="Arial"/>
                <w:b/>
                <w:bCs/>
                <w:szCs w:val="24"/>
              </w:rPr>
            </w:pPr>
            <w:r w:rsidRPr="006548D8">
              <w:rPr>
                <w:rFonts w:cs="Arial"/>
                <w:bCs/>
                <w:color w:val="000000"/>
                <w:szCs w:val="24"/>
              </w:rPr>
              <w:t>S</w:t>
            </w:r>
            <w:r>
              <w:rPr>
                <w:rFonts w:cs="Arial"/>
                <w:bCs/>
                <w:color w:val="000000"/>
                <w:szCs w:val="24"/>
              </w:rPr>
              <w:t>anitary</w:t>
            </w:r>
            <w:r w:rsidRPr="006548D8">
              <w:rPr>
                <w:rFonts w:cs="Arial"/>
                <w:bCs/>
                <w:color w:val="000000"/>
                <w:szCs w:val="24"/>
              </w:rPr>
              <w:t xml:space="preserve"> sewers on Briardean Road (From approximately 70 meters south of Maple Grove Road to approximately the middle of Pointer Street).</w:t>
            </w:r>
          </w:p>
        </w:tc>
        <w:tc>
          <w:tcPr>
            <w:tcW w:w="1757" w:type="dxa"/>
          </w:tcPr>
          <w:p w14:paraId="609518E2" w14:textId="77777777" w:rsidR="00975250" w:rsidRPr="006548D8" w:rsidRDefault="00975250" w:rsidP="00462DCE">
            <w:pPr>
              <w:spacing w:after="120" w:line="276" w:lineRule="auto"/>
              <w:rPr>
                <w:rFonts w:cs="Arial"/>
                <w:b/>
                <w:bCs/>
                <w:szCs w:val="24"/>
              </w:rPr>
            </w:pPr>
            <w:r w:rsidRPr="006548D8">
              <w:rPr>
                <w:rFonts w:cs="Arial"/>
                <w:bCs/>
                <w:color w:val="000000"/>
                <w:szCs w:val="24"/>
              </w:rPr>
              <w:t xml:space="preserve">800-875 Briardean Road </w:t>
            </w:r>
          </w:p>
        </w:tc>
        <w:tc>
          <w:tcPr>
            <w:tcW w:w="1799" w:type="dxa"/>
          </w:tcPr>
          <w:p w14:paraId="52E873FC" w14:textId="77777777" w:rsidR="00975250" w:rsidRPr="006548D8" w:rsidRDefault="00975250" w:rsidP="00462DCE">
            <w:pPr>
              <w:spacing w:after="120" w:line="276" w:lineRule="auto"/>
              <w:rPr>
                <w:b/>
                <w:bCs/>
                <w:szCs w:val="24"/>
              </w:rPr>
            </w:pPr>
            <w:r w:rsidRPr="006548D8">
              <w:rPr>
                <w:bCs/>
                <w:szCs w:val="24"/>
              </w:rPr>
              <w:t>No</w:t>
            </w:r>
          </w:p>
        </w:tc>
      </w:tr>
      <w:tr w:rsidR="00975250" w:rsidRPr="00097ECA" w14:paraId="485B3506" w14:textId="77777777" w:rsidTr="00462DCE">
        <w:trPr>
          <w:cantSplit/>
        </w:trPr>
        <w:tc>
          <w:tcPr>
            <w:tcW w:w="1377" w:type="dxa"/>
          </w:tcPr>
          <w:p w14:paraId="05A2B432" w14:textId="77777777" w:rsidR="00975250" w:rsidRPr="006548D8" w:rsidRDefault="00975250" w:rsidP="00462DCE">
            <w:pPr>
              <w:spacing w:after="120" w:line="276" w:lineRule="auto"/>
              <w:rPr>
                <w:b/>
                <w:bCs/>
                <w:szCs w:val="24"/>
              </w:rPr>
            </w:pPr>
            <w:r w:rsidRPr="006548D8">
              <w:rPr>
                <w:bCs/>
                <w:szCs w:val="24"/>
              </w:rPr>
              <w:lastRenderedPageBreak/>
              <w:t>2025-03</w:t>
            </w:r>
          </w:p>
        </w:tc>
        <w:tc>
          <w:tcPr>
            <w:tcW w:w="1953" w:type="dxa"/>
          </w:tcPr>
          <w:p w14:paraId="4DE79E42" w14:textId="77777777" w:rsidR="00975250" w:rsidRPr="006548D8" w:rsidRDefault="00975250" w:rsidP="00462DCE">
            <w:pPr>
              <w:spacing w:after="120" w:line="276" w:lineRule="auto"/>
              <w:rPr>
                <w:rFonts w:cs="Arial"/>
                <w:b/>
                <w:bCs/>
                <w:szCs w:val="24"/>
              </w:rPr>
            </w:pPr>
            <w:r w:rsidRPr="006548D8">
              <w:rPr>
                <w:rFonts w:cs="Arial"/>
                <w:bCs/>
                <w:color w:val="000000"/>
                <w:szCs w:val="24"/>
              </w:rPr>
              <w:t>Capital Project A-00542-30 - Queen St W Reconstruction</w:t>
            </w:r>
          </w:p>
        </w:tc>
        <w:tc>
          <w:tcPr>
            <w:tcW w:w="3464" w:type="dxa"/>
          </w:tcPr>
          <w:p w14:paraId="49AF1761" w14:textId="77777777" w:rsidR="00975250" w:rsidRPr="006548D8" w:rsidRDefault="00975250" w:rsidP="00462DCE">
            <w:pPr>
              <w:spacing w:after="120" w:line="276" w:lineRule="auto"/>
              <w:rPr>
                <w:rFonts w:cs="Arial"/>
                <w:b/>
                <w:bCs/>
                <w:szCs w:val="24"/>
              </w:rPr>
            </w:pPr>
            <w:r w:rsidRPr="00C50E1C">
              <w:rPr>
                <w:rFonts w:cs="Arial"/>
                <w:bCs/>
                <w:color w:val="000000"/>
                <w:szCs w:val="24"/>
              </w:rPr>
              <w:t>The project includes replacement of underground sanitary sewers and structures along with full road reconstruction. Existing 200mm diameter vitrified clay and PVC sanitary sewer and existing maintenance holes to be replaced with new 200mm diameter PVC sanitary sewer along with new maintenance holes.</w:t>
            </w:r>
          </w:p>
        </w:tc>
        <w:tc>
          <w:tcPr>
            <w:tcW w:w="1757" w:type="dxa"/>
          </w:tcPr>
          <w:p w14:paraId="5D20B010" w14:textId="77777777" w:rsidR="00975250" w:rsidRPr="006548D8" w:rsidRDefault="00975250" w:rsidP="00462DCE">
            <w:pPr>
              <w:spacing w:after="120" w:line="276" w:lineRule="auto"/>
              <w:rPr>
                <w:rFonts w:cs="Arial"/>
                <w:b/>
                <w:bCs/>
                <w:szCs w:val="24"/>
              </w:rPr>
            </w:pPr>
            <w:r w:rsidRPr="006548D8">
              <w:rPr>
                <w:rFonts w:cs="Arial"/>
                <w:bCs/>
                <w:color w:val="000000"/>
                <w:szCs w:val="24"/>
              </w:rPr>
              <w:t>Queen St. W</w:t>
            </w:r>
          </w:p>
        </w:tc>
        <w:tc>
          <w:tcPr>
            <w:tcW w:w="1799" w:type="dxa"/>
          </w:tcPr>
          <w:p w14:paraId="4A0F4F1F" w14:textId="77777777" w:rsidR="00975250" w:rsidRPr="006548D8" w:rsidRDefault="00975250" w:rsidP="00462DCE">
            <w:pPr>
              <w:spacing w:after="120" w:line="276" w:lineRule="auto"/>
              <w:rPr>
                <w:b/>
                <w:bCs/>
                <w:szCs w:val="24"/>
              </w:rPr>
            </w:pPr>
            <w:r w:rsidRPr="006548D8">
              <w:rPr>
                <w:bCs/>
                <w:szCs w:val="24"/>
              </w:rPr>
              <w:t>No</w:t>
            </w:r>
          </w:p>
        </w:tc>
      </w:tr>
      <w:tr w:rsidR="00975250" w:rsidRPr="00097ECA" w14:paraId="551B69CF" w14:textId="77777777" w:rsidTr="00462DCE">
        <w:trPr>
          <w:cantSplit/>
        </w:trPr>
        <w:tc>
          <w:tcPr>
            <w:tcW w:w="1377" w:type="dxa"/>
          </w:tcPr>
          <w:p w14:paraId="6E0DFC12" w14:textId="77777777" w:rsidR="00975250" w:rsidRPr="006548D8" w:rsidRDefault="00975250" w:rsidP="00462DCE">
            <w:pPr>
              <w:spacing w:after="120" w:line="276" w:lineRule="auto"/>
              <w:rPr>
                <w:b/>
                <w:bCs/>
                <w:szCs w:val="24"/>
              </w:rPr>
            </w:pPr>
            <w:r w:rsidRPr="006548D8">
              <w:rPr>
                <w:bCs/>
                <w:szCs w:val="24"/>
              </w:rPr>
              <w:t>2025-04</w:t>
            </w:r>
          </w:p>
        </w:tc>
        <w:tc>
          <w:tcPr>
            <w:tcW w:w="1953" w:type="dxa"/>
          </w:tcPr>
          <w:p w14:paraId="298C3707" w14:textId="77777777" w:rsidR="00975250" w:rsidRPr="006548D8" w:rsidRDefault="00975250" w:rsidP="00462DCE">
            <w:pPr>
              <w:spacing w:after="120" w:line="276" w:lineRule="auto"/>
              <w:rPr>
                <w:rFonts w:cs="Arial"/>
                <w:b/>
                <w:bCs/>
                <w:szCs w:val="24"/>
              </w:rPr>
            </w:pPr>
            <w:r w:rsidRPr="006548D8">
              <w:rPr>
                <w:rFonts w:cs="Arial"/>
                <w:bCs/>
                <w:color w:val="000000"/>
                <w:szCs w:val="24"/>
              </w:rPr>
              <w:t>Upper Green Gate Subdivision</w:t>
            </w:r>
          </w:p>
        </w:tc>
        <w:tc>
          <w:tcPr>
            <w:tcW w:w="3464" w:type="dxa"/>
          </w:tcPr>
          <w:p w14:paraId="0327BE05" w14:textId="77777777" w:rsidR="00975250" w:rsidRPr="006548D8" w:rsidRDefault="00975250" w:rsidP="00462DCE">
            <w:pPr>
              <w:spacing w:after="120" w:line="276" w:lineRule="auto"/>
              <w:rPr>
                <w:rFonts w:cs="Arial"/>
                <w:b/>
                <w:bCs/>
                <w:szCs w:val="24"/>
              </w:rPr>
            </w:pPr>
            <w:r w:rsidRPr="006548D8">
              <w:rPr>
                <w:rFonts w:cs="Arial"/>
                <w:bCs/>
                <w:color w:val="000000"/>
                <w:szCs w:val="24"/>
              </w:rPr>
              <w:t xml:space="preserve">Addition of municipal </w:t>
            </w:r>
            <w:r>
              <w:rPr>
                <w:rFonts w:cs="Arial"/>
                <w:bCs/>
                <w:color w:val="000000"/>
                <w:szCs w:val="24"/>
              </w:rPr>
              <w:t>sanitary</w:t>
            </w:r>
            <w:r w:rsidRPr="006548D8">
              <w:rPr>
                <w:rFonts w:cs="Arial"/>
                <w:bCs/>
                <w:color w:val="000000"/>
                <w:szCs w:val="24"/>
              </w:rPr>
              <w:t xml:space="preserve"> sewers within a new development subdivision.</w:t>
            </w:r>
          </w:p>
        </w:tc>
        <w:tc>
          <w:tcPr>
            <w:tcW w:w="1757" w:type="dxa"/>
          </w:tcPr>
          <w:p w14:paraId="26B17B51" w14:textId="77777777" w:rsidR="00975250" w:rsidRPr="006548D8" w:rsidRDefault="00975250" w:rsidP="00462DCE">
            <w:pPr>
              <w:spacing w:after="120" w:line="276" w:lineRule="auto"/>
              <w:rPr>
                <w:rFonts w:cs="Arial"/>
                <w:b/>
                <w:bCs/>
                <w:szCs w:val="24"/>
              </w:rPr>
            </w:pPr>
            <w:r w:rsidRPr="006548D8">
              <w:rPr>
                <w:rFonts w:cs="Arial"/>
                <w:bCs/>
                <w:color w:val="000000"/>
                <w:szCs w:val="24"/>
              </w:rPr>
              <w:t>1005 Main St East</w:t>
            </w:r>
          </w:p>
        </w:tc>
        <w:tc>
          <w:tcPr>
            <w:tcW w:w="1799" w:type="dxa"/>
          </w:tcPr>
          <w:p w14:paraId="01D4A06F" w14:textId="77777777" w:rsidR="00975250" w:rsidRPr="006548D8" w:rsidRDefault="00975250" w:rsidP="00462DCE">
            <w:pPr>
              <w:spacing w:after="120" w:line="276" w:lineRule="auto"/>
              <w:rPr>
                <w:b/>
                <w:bCs/>
                <w:szCs w:val="24"/>
              </w:rPr>
            </w:pPr>
            <w:r w:rsidRPr="006548D8">
              <w:rPr>
                <w:bCs/>
                <w:szCs w:val="24"/>
              </w:rPr>
              <w:t>No</w:t>
            </w:r>
          </w:p>
        </w:tc>
      </w:tr>
      <w:tr w:rsidR="00975250" w:rsidRPr="00097ECA" w14:paraId="60A346D5" w14:textId="77777777" w:rsidTr="00462DCE">
        <w:trPr>
          <w:cantSplit/>
        </w:trPr>
        <w:tc>
          <w:tcPr>
            <w:tcW w:w="1377" w:type="dxa"/>
          </w:tcPr>
          <w:p w14:paraId="17B71FD7" w14:textId="77777777" w:rsidR="00975250" w:rsidRPr="006548D8" w:rsidRDefault="00975250" w:rsidP="00462DCE">
            <w:pPr>
              <w:rPr>
                <w:b/>
                <w:bCs/>
                <w:szCs w:val="24"/>
              </w:rPr>
            </w:pPr>
            <w:r>
              <w:rPr>
                <w:bCs/>
                <w:szCs w:val="24"/>
              </w:rPr>
              <w:t>2025-05</w:t>
            </w:r>
          </w:p>
        </w:tc>
        <w:tc>
          <w:tcPr>
            <w:tcW w:w="1953" w:type="dxa"/>
          </w:tcPr>
          <w:p w14:paraId="674D4C53" w14:textId="77777777" w:rsidR="00975250" w:rsidRPr="006548D8" w:rsidRDefault="00975250" w:rsidP="00462DCE">
            <w:pPr>
              <w:rPr>
                <w:rFonts w:cs="Arial"/>
                <w:b/>
                <w:bCs/>
                <w:color w:val="000000"/>
                <w:szCs w:val="24"/>
              </w:rPr>
            </w:pPr>
            <w:r>
              <w:rPr>
                <w:rFonts w:cs="Arial"/>
                <w:bCs/>
                <w:color w:val="000000"/>
                <w:szCs w:val="24"/>
              </w:rPr>
              <w:t>Maple Hill Sanitary Forcemain</w:t>
            </w:r>
          </w:p>
        </w:tc>
        <w:tc>
          <w:tcPr>
            <w:tcW w:w="3464" w:type="dxa"/>
          </w:tcPr>
          <w:p w14:paraId="1B760876" w14:textId="77777777" w:rsidR="00975250" w:rsidRPr="006548D8" w:rsidRDefault="00975250" w:rsidP="00462DCE">
            <w:pPr>
              <w:rPr>
                <w:rFonts w:cs="Arial"/>
                <w:b/>
                <w:bCs/>
                <w:color w:val="000000"/>
                <w:szCs w:val="24"/>
              </w:rPr>
            </w:pPr>
            <w:r w:rsidRPr="00AB3433">
              <w:rPr>
                <w:rFonts w:cs="Arial"/>
                <w:bCs/>
                <w:color w:val="000000"/>
                <w:szCs w:val="24"/>
              </w:rPr>
              <w:t>The purpose of this project is to a provide sanitary servicing solution for Maple Mills Subdivision via forcemain (and Sanitary Pumping Station (SPS) not part of this application).</w:t>
            </w:r>
          </w:p>
        </w:tc>
        <w:tc>
          <w:tcPr>
            <w:tcW w:w="1757" w:type="dxa"/>
          </w:tcPr>
          <w:p w14:paraId="1A2F5775" w14:textId="77777777" w:rsidR="00975250" w:rsidRPr="006548D8" w:rsidRDefault="00975250" w:rsidP="00462DCE">
            <w:pPr>
              <w:rPr>
                <w:rFonts w:cs="Arial"/>
                <w:b/>
                <w:bCs/>
                <w:color w:val="000000"/>
                <w:szCs w:val="24"/>
              </w:rPr>
            </w:pPr>
            <w:r>
              <w:rPr>
                <w:rFonts w:cs="Arial"/>
                <w:bCs/>
                <w:color w:val="000000"/>
                <w:szCs w:val="24"/>
              </w:rPr>
              <w:t>4045 Maple Grove Road</w:t>
            </w:r>
          </w:p>
        </w:tc>
        <w:tc>
          <w:tcPr>
            <w:tcW w:w="1799" w:type="dxa"/>
          </w:tcPr>
          <w:p w14:paraId="253AED03" w14:textId="77777777" w:rsidR="00975250" w:rsidRPr="006548D8" w:rsidRDefault="00975250" w:rsidP="00462DCE">
            <w:pPr>
              <w:rPr>
                <w:b/>
                <w:bCs/>
                <w:szCs w:val="24"/>
              </w:rPr>
            </w:pPr>
            <w:r>
              <w:rPr>
                <w:bCs/>
                <w:szCs w:val="24"/>
              </w:rPr>
              <w:t>No</w:t>
            </w:r>
          </w:p>
        </w:tc>
      </w:tr>
    </w:tbl>
    <w:p w14:paraId="72E142CD" w14:textId="77777777" w:rsidR="00975250" w:rsidRPr="00D2002F" w:rsidRDefault="00975250" w:rsidP="00975250">
      <w:pPr>
        <w:rPr>
          <w:b/>
        </w:rPr>
      </w:pPr>
    </w:p>
    <w:p w14:paraId="46CCA21E" w14:textId="77777777" w:rsidR="00975250" w:rsidRPr="00301F9C" w:rsidRDefault="00975250" w:rsidP="00975250">
      <w:pPr>
        <w:rPr>
          <w:b/>
          <w:highlight w:val="yellow"/>
        </w:rPr>
      </w:pPr>
      <w:r w:rsidRPr="0074540F">
        <w:t xml:space="preserve">In 2025 the system grew by approximately 0.3%, the equivalent of 1.6 km of new sanitary pipe. An additional 3.9 km of pipe were replaced. </w:t>
      </w:r>
      <w:r w:rsidRPr="00334741">
        <w:t>36 maintenance holes, and 238 new services were also added to support residential and industrial growth.</w:t>
      </w:r>
    </w:p>
    <w:p w14:paraId="33742540" w14:textId="77777777" w:rsidR="00975250" w:rsidRPr="009E5CCD" w:rsidRDefault="00975250" w:rsidP="00975250">
      <w:pPr>
        <w:rPr>
          <w:rFonts w:cs="Arial"/>
          <w:b/>
          <w:color w:val="000000"/>
          <w:szCs w:val="24"/>
        </w:rPr>
      </w:pPr>
      <w:r w:rsidRPr="009E5CCD">
        <w:rPr>
          <w:rFonts w:cs="Arial"/>
          <w:b/>
          <w:szCs w:val="24"/>
        </w:rPr>
        <w:t>Spills:</w:t>
      </w:r>
    </w:p>
    <w:p w14:paraId="09C5E59D" w14:textId="77777777" w:rsidR="00975250" w:rsidRDefault="00975250" w:rsidP="00975250">
      <w:pPr>
        <w:rPr>
          <w:b/>
        </w:rPr>
      </w:pPr>
      <w:r w:rsidRPr="006548D8">
        <w:t xml:space="preserve">The City engaged in 49 Environmental Spill investigations in 2025, with an estimated cost of $21,079 in City staffing and equipment, compared to 50 spills costing $26,882 in 2024. Environmental Services was able to locate and invoice culpable parties on 12 spill investigations, recouping roughly $8,474 (40%) of the City’s Spill’s expenditures. The City dealt with a diverse range of spills including various oil/gas-based substances, soap-based chemicals, and both public and private sewage overflows. A list of 2025 sewage overflow, providing Spills Action Centre (SAC) reference numbers, can be seen in </w:t>
      </w:r>
      <w:r w:rsidRPr="006548D8">
        <w:rPr>
          <w:bCs/>
        </w:rPr>
        <w:t xml:space="preserve">Figure </w:t>
      </w:r>
      <w:r>
        <w:rPr>
          <w:bCs/>
        </w:rPr>
        <w:t>8</w:t>
      </w:r>
      <w:r w:rsidRPr="006548D8">
        <w:t>.</w:t>
      </w:r>
    </w:p>
    <w:p w14:paraId="080677F4" w14:textId="08AE8F0F" w:rsidR="00975250" w:rsidRPr="009E5CCD" w:rsidRDefault="00975250" w:rsidP="00975250">
      <w:pPr>
        <w:jc w:val="center"/>
        <w:rPr>
          <w:b/>
        </w:rPr>
      </w:pPr>
      <w:r w:rsidRPr="009E5CCD">
        <w:rPr>
          <w:b/>
        </w:rPr>
        <w:lastRenderedPageBreak/>
        <w:t>Figure 8 – 2025 Sewage Overflows</w:t>
      </w:r>
    </w:p>
    <w:tbl>
      <w:tblPr>
        <w:tblStyle w:val="TableGrid"/>
        <w:tblW w:w="10098" w:type="dxa"/>
        <w:tblLook w:val="04A0" w:firstRow="1" w:lastRow="0" w:firstColumn="1" w:lastColumn="0" w:noHBand="0" w:noVBand="1"/>
        <w:tblCaption w:val="2025 Sewage Overflows"/>
        <w:tblDescription w:val="Details of spill events that have occured through the City in 2025."/>
      </w:tblPr>
      <w:tblGrid>
        <w:gridCol w:w="355"/>
        <w:gridCol w:w="1530"/>
        <w:gridCol w:w="1530"/>
        <w:gridCol w:w="2880"/>
        <w:gridCol w:w="3803"/>
      </w:tblGrid>
      <w:tr w:rsidR="00975250" w14:paraId="3D9DE1E2" w14:textId="77777777" w:rsidTr="00D1686E">
        <w:trPr>
          <w:cantSplit/>
          <w:tblHeader/>
        </w:trPr>
        <w:tc>
          <w:tcPr>
            <w:tcW w:w="355" w:type="dxa"/>
          </w:tcPr>
          <w:p w14:paraId="7B347CCA" w14:textId="77777777" w:rsidR="00975250" w:rsidRPr="00913893" w:rsidRDefault="00975250" w:rsidP="00462DCE">
            <w:pPr>
              <w:spacing w:after="200" w:line="276" w:lineRule="auto"/>
              <w:rPr>
                <w:b/>
                <w:bCs/>
              </w:rPr>
            </w:pPr>
            <w:r w:rsidRPr="00913893">
              <w:rPr>
                <w:b/>
                <w:bCs/>
              </w:rPr>
              <w:t>#</w:t>
            </w:r>
          </w:p>
        </w:tc>
        <w:tc>
          <w:tcPr>
            <w:tcW w:w="1530" w:type="dxa"/>
          </w:tcPr>
          <w:p w14:paraId="27A45795" w14:textId="77777777" w:rsidR="00975250" w:rsidRPr="00913893" w:rsidRDefault="00975250" w:rsidP="00462DCE">
            <w:pPr>
              <w:spacing w:after="200" w:line="276" w:lineRule="auto"/>
              <w:rPr>
                <w:b/>
                <w:bCs/>
              </w:rPr>
            </w:pPr>
            <w:r w:rsidRPr="00913893">
              <w:rPr>
                <w:b/>
                <w:bCs/>
              </w:rPr>
              <w:t>Date</w:t>
            </w:r>
          </w:p>
        </w:tc>
        <w:tc>
          <w:tcPr>
            <w:tcW w:w="1530" w:type="dxa"/>
          </w:tcPr>
          <w:p w14:paraId="66C0AEE4" w14:textId="77777777" w:rsidR="00975250" w:rsidRPr="00913893" w:rsidRDefault="00975250" w:rsidP="00462DCE">
            <w:pPr>
              <w:spacing w:after="200" w:line="276" w:lineRule="auto"/>
              <w:rPr>
                <w:b/>
                <w:bCs/>
              </w:rPr>
            </w:pPr>
            <w:r w:rsidRPr="00913893">
              <w:rPr>
                <w:b/>
                <w:bCs/>
              </w:rPr>
              <w:t>Location</w:t>
            </w:r>
          </w:p>
        </w:tc>
        <w:tc>
          <w:tcPr>
            <w:tcW w:w="2880" w:type="dxa"/>
          </w:tcPr>
          <w:p w14:paraId="090250C6" w14:textId="77777777" w:rsidR="00975250" w:rsidRPr="00913893" w:rsidRDefault="00975250" w:rsidP="00462DCE">
            <w:pPr>
              <w:spacing w:after="200" w:line="276" w:lineRule="auto"/>
              <w:rPr>
                <w:b/>
                <w:bCs/>
              </w:rPr>
            </w:pPr>
            <w:r w:rsidRPr="00913893">
              <w:rPr>
                <w:b/>
                <w:bCs/>
              </w:rPr>
              <w:t>Description of Spill Event</w:t>
            </w:r>
          </w:p>
        </w:tc>
        <w:tc>
          <w:tcPr>
            <w:tcW w:w="3803" w:type="dxa"/>
          </w:tcPr>
          <w:p w14:paraId="38E17DA4" w14:textId="77777777" w:rsidR="00975250" w:rsidRPr="00913893" w:rsidRDefault="00975250" w:rsidP="00462DCE">
            <w:pPr>
              <w:spacing w:after="200" w:line="276" w:lineRule="auto"/>
              <w:rPr>
                <w:b/>
                <w:bCs/>
              </w:rPr>
            </w:pPr>
            <w:r w:rsidRPr="00913893">
              <w:rPr>
                <w:b/>
                <w:bCs/>
              </w:rPr>
              <w:t>Actions Taken</w:t>
            </w:r>
          </w:p>
        </w:tc>
      </w:tr>
      <w:tr w:rsidR="00975250" w14:paraId="3D2B942C" w14:textId="77777777" w:rsidTr="00D1686E">
        <w:trPr>
          <w:cantSplit/>
        </w:trPr>
        <w:tc>
          <w:tcPr>
            <w:tcW w:w="355" w:type="dxa"/>
          </w:tcPr>
          <w:p w14:paraId="6CEF64C1" w14:textId="77777777" w:rsidR="00975250" w:rsidRPr="006548D8" w:rsidRDefault="00975250" w:rsidP="00462DCE">
            <w:pPr>
              <w:spacing w:after="200" w:line="276" w:lineRule="auto"/>
            </w:pPr>
            <w:r w:rsidRPr="006548D8">
              <w:t>1</w:t>
            </w:r>
          </w:p>
        </w:tc>
        <w:tc>
          <w:tcPr>
            <w:tcW w:w="1530" w:type="dxa"/>
          </w:tcPr>
          <w:p w14:paraId="36F92F28" w14:textId="77777777" w:rsidR="00975250" w:rsidRPr="006548D8" w:rsidRDefault="00975250" w:rsidP="00462DCE">
            <w:pPr>
              <w:spacing w:after="200" w:line="276" w:lineRule="auto"/>
              <w:rPr>
                <w:b/>
                <w:bCs/>
              </w:rPr>
            </w:pPr>
            <w:r w:rsidRPr="006548D8">
              <w:rPr>
                <w:bCs/>
              </w:rPr>
              <w:t>2025-03-02</w:t>
            </w:r>
          </w:p>
        </w:tc>
        <w:tc>
          <w:tcPr>
            <w:tcW w:w="1530" w:type="dxa"/>
          </w:tcPr>
          <w:p w14:paraId="1092F2DE" w14:textId="77777777" w:rsidR="00975250" w:rsidRPr="006548D8" w:rsidRDefault="00975250" w:rsidP="00462DCE">
            <w:pPr>
              <w:spacing w:after="200" w:line="276" w:lineRule="auto"/>
              <w:rPr>
                <w:b/>
                <w:bCs/>
              </w:rPr>
            </w:pPr>
            <w:r w:rsidRPr="006548D8">
              <w:rPr>
                <w:bCs/>
              </w:rPr>
              <w:t>200 Franklin St</w:t>
            </w:r>
          </w:p>
        </w:tc>
        <w:tc>
          <w:tcPr>
            <w:tcW w:w="2880" w:type="dxa"/>
          </w:tcPr>
          <w:p w14:paraId="707BE040" w14:textId="77777777" w:rsidR="00975250" w:rsidRPr="006548D8" w:rsidRDefault="00975250" w:rsidP="00462DCE">
            <w:pPr>
              <w:spacing w:after="200" w:line="276" w:lineRule="auto"/>
              <w:rPr>
                <w:b/>
                <w:bCs/>
              </w:rPr>
            </w:pPr>
            <w:r w:rsidRPr="006548D8">
              <w:rPr>
                <w:bCs/>
              </w:rPr>
              <w:t>SAC: 1-132FER</w:t>
            </w:r>
          </w:p>
          <w:p w14:paraId="5B56DA87" w14:textId="77777777" w:rsidR="00975250" w:rsidRPr="006548D8" w:rsidRDefault="00975250" w:rsidP="00462DCE">
            <w:pPr>
              <w:spacing w:after="200" w:line="276" w:lineRule="auto"/>
              <w:rPr>
                <w:b/>
                <w:bCs/>
              </w:rPr>
            </w:pPr>
            <w:r w:rsidRPr="006548D8">
              <w:rPr>
                <w:bCs/>
              </w:rPr>
              <w:t>Volume: &lt;100 L</w:t>
            </w:r>
          </w:p>
          <w:p w14:paraId="2E0A60CF" w14:textId="77777777" w:rsidR="00975250" w:rsidRPr="006548D8" w:rsidRDefault="00975250" w:rsidP="00462DCE">
            <w:pPr>
              <w:spacing w:after="200" w:line="276" w:lineRule="auto"/>
              <w:rPr>
                <w:b/>
                <w:bCs/>
              </w:rPr>
            </w:pPr>
            <w:r w:rsidRPr="006548D8">
              <w:rPr>
                <w:bCs/>
              </w:rPr>
              <w:t xml:space="preserve">A sanitary main block in a parking lot surcharged sewage into adjacent stormwater infrastructure. </w:t>
            </w:r>
          </w:p>
        </w:tc>
        <w:tc>
          <w:tcPr>
            <w:tcW w:w="3803" w:type="dxa"/>
          </w:tcPr>
          <w:p w14:paraId="5F30B106" w14:textId="77777777" w:rsidR="00975250" w:rsidRPr="006548D8" w:rsidRDefault="00975250" w:rsidP="00462DCE">
            <w:pPr>
              <w:spacing w:after="200" w:line="276" w:lineRule="auto"/>
              <w:rPr>
                <w:b/>
                <w:bCs/>
              </w:rPr>
            </w:pPr>
            <w:r w:rsidRPr="006548D8">
              <w:rPr>
                <w:bCs/>
              </w:rPr>
              <w:t>The City hydrovaced the effected maintenance hole to relieve the block.</w:t>
            </w:r>
          </w:p>
          <w:p w14:paraId="6A042C7D" w14:textId="77777777" w:rsidR="00975250" w:rsidRPr="006548D8" w:rsidRDefault="00975250" w:rsidP="00462DCE">
            <w:pPr>
              <w:spacing w:after="200" w:line="276" w:lineRule="auto"/>
              <w:rPr>
                <w:b/>
                <w:bCs/>
              </w:rPr>
            </w:pPr>
            <w:r w:rsidRPr="006548D8">
              <w:rPr>
                <w:bCs/>
              </w:rPr>
              <w:t>The adjacent stormwater infrastructure and surface level discharge was hydrovaced, clearing all sewage from the affected areas.</w:t>
            </w:r>
          </w:p>
        </w:tc>
      </w:tr>
      <w:tr w:rsidR="00975250" w14:paraId="058B1445" w14:textId="77777777" w:rsidTr="00D1686E">
        <w:trPr>
          <w:cantSplit/>
        </w:trPr>
        <w:tc>
          <w:tcPr>
            <w:tcW w:w="355" w:type="dxa"/>
          </w:tcPr>
          <w:p w14:paraId="4BE030E1" w14:textId="77777777" w:rsidR="00975250" w:rsidRPr="006548D8" w:rsidRDefault="00975250" w:rsidP="00462DCE">
            <w:pPr>
              <w:spacing w:after="200" w:line="276" w:lineRule="auto"/>
            </w:pPr>
            <w:r w:rsidRPr="006548D8">
              <w:t>2</w:t>
            </w:r>
          </w:p>
        </w:tc>
        <w:tc>
          <w:tcPr>
            <w:tcW w:w="1530" w:type="dxa"/>
          </w:tcPr>
          <w:p w14:paraId="72BFF9DB" w14:textId="77777777" w:rsidR="00975250" w:rsidRPr="006548D8" w:rsidRDefault="00975250" w:rsidP="00462DCE">
            <w:pPr>
              <w:spacing w:after="200" w:line="276" w:lineRule="auto"/>
              <w:rPr>
                <w:b/>
                <w:bCs/>
              </w:rPr>
            </w:pPr>
            <w:r w:rsidRPr="006548D8">
              <w:rPr>
                <w:bCs/>
              </w:rPr>
              <w:t>2025-03-12</w:t>
            </w:r>
          </w:p>
        </w:tc>
        <w:tc>
          <w:tcPr>
            <w:tcW w:w="1530" w:type="dxa"/>
          </w:tcPr>
          <w:p w14:paraId="49E149C2" w14:textId="77777777" w:rsidR="00975250" w:rsidRPr="006548D8" w:rsidRDefault="00975250" w:rsidP="00462DCE">
            <w:pPr>
              <w:spacing w:after="200" w:line="276" w:lineRule="auto"/>
              <w:rPr>
                <w:b/>
                <w:bCs/>
              </w:rPr>
            </w:pPr>
            <w:r w:rsidRPr="006548D8">
              <w:rPr>
                <w:bCs/>
              </w:rPr>
              <w:t>166 Grand Ridge Dr</w:t>
            </w:r>
          </w:p>
        </w:tc>
        <w:tc>
          <w:tcPr>
            <w:tcW w:w="2880" w:type="dxa"/>
          </w:tcPr>
          <w:p w14:paraId="62D77369" w14:textId="77777777" w:rsidR="00975250" w:rsidRPr="006548D8" w:rsidRDefault="00975250" w:rsidP="00462DCE">
            <w:pPr>
              <w:spacing w:after="200" w:line="276" w:lineRule="auto"/>
              <w:rPr>
                <w:b/>
                <w:bCs/>
              </w:rPr>
            </w:pPr>
            <w:r w:rsidRPr="006548D8">
              <w:rPr>
                <w:bCs/>
              </w:rPr>
              <w:t>SAC: 1-IT9LD1</w:t>
            </w:r>
          </w:p>
          <w:p w14:paraId="7E737E79" w14:textId="77777777" w:rsidR="00975250" w:rsidRPr="006548D8" w:rsidRDefault="00975250" w:rsidP="00462DCE">
            <w:pPr>
              <w:spacing w:after="200" w:line="276" w:lineRule="auto"/>
              <w:rPr>
                <w:b/>
                <w:bCs/>
              </w:rPr>
            </w:pPr>
            <w:r w:rsidRPr="006548D8">
              <w:rPr>
                <w:bCs/>
              </w:rPr>
              <w:t>Volume: Unknown</w:t>
            </w:r>
          </w:p>
          <w:p w14:paraId="2FC7E769" w14:textId="77777777" w:rsidR="00975250" w:rsidRPr="006548D8" w:rsidRDefault="00975250" w:rsidP="00462DCE">
            <w:pPr>
              <w:spacing w:after="200" w:line="276" w:lineRule="auto"/>
              <w:rPr>
                <w:b/>
                <w:bCs/>
              </w:rPr>
            </w:pPr>
            <w:r w:rsidRPr="006548D8">
              <w:rPr>
                <w:bCs/>
              </w:rPr>
              <w:t>A sanitary main block surcharged into an adjacent catch basin.</w:t>
            </w:r>
          </w:p>
        </w:tc>
        <w:tc>
          <w:tcPr>
            <w:tcW w:w="3803" w:type="dxa"/>
          </w:tcPr>
          <w:p w14:paraId="23057FF0" w14:textId="77777777" w:rsidR="00975250" w:rsidRPr="006548D8" w:rsidRDefault="00975250" w:rsidP="00462DCE">
            <w:pPr>
              <w:spacing w:after="200" w:line="276" w:lineRule="auto"/>
              <w:rPr>
                <w:b/>
                <w:bCs/>
              </w:rPr>
            </w:pPr>
            <w:r w:rsidRPr="006548D8">
              <w:rPr>
                <w:bCs/>
              </w:rPr>
              <w:t>The City hydrovaced the effected maintenance hole to relieve the block.</w:t>
            </w:r>
          </w:p>
          <w:p w14:paraId="2509D708" w14:textId="77777777" w:rsidR="00975250" w:rsidRPr="006548D8" w:rsidRDefault="00975250" w:rsidP="00462DCE">
            <w:pPr>
              <w:spacing w:after="200" w:line="276" w:lineRule="auto"/>
              <w:rPr>
                <w:b/>
                <w:bCs/>
              </w:rPr>
            </w:pPr>
            <w:r w:rsidRPr="006548D8">
              <w:rPr>
                <w:bCs/>
              </w:rPr>
              <w:t>The adjacent stormwater infrastructure and surface level discharge was hydrovaced, clearing all sewage from the affected areas.</w:t>
            </w:r>
          </w:p>
        </w:tc>
      </w:tr>
      <w:tr w:rsidR="00975250" w14:paraId="0825881D" w14:textId="77777777" w:rsidTr="00D1686E">
        <w:trPr>
          <w:cantSplit/>
        </w:trPr>
        <w:tc>
          <w:tcPr>
            <w:tcW w:w="355" w:type="dxa"/>
          </w:tcPr>
          <w:p w14:paraId="43953DAF" w14:textId="77777777" w:rsidR="00975250" w:rsidRPr="006548D8" w:rsidRDefault="00975250" w:rsidP="00462DCE">
            <w:pPr>
              <w:spacing w:after="200" w:line="276" w:lineRule="auto"/>
            </w:pPr>
            <w:r w:rsidRPr="006548D8">
              <w:t>3</w:t>
            </w:r>
          </w:p>
        </w:tc>
        <w:tc>
          <w:tcPr>
            <w:tcW w:w="1530" w:type="dxa"/>
          </w:tcPr>
          <w:p w14:paraId="4F6C3944" w14:textId="77777777" w:rsidR="00975250" w:rsidRPr="006548D8" w:rsidRDefault="00975250" w:rsidP="00462DCE">
            <w:pPr>
              <w:spacing w:after="200" w:line="276" w:lineRule="auto"/>
              <w:rPr>
                <w:b/>
                <w:bCs/>
              </w:rPr>
            </w:pPr>
            <w:r w:rsidRPr="006548D8">
              <w:rPr>
                <w:bCs/>
              </w:rPr>
              <w:t>2025-03-25</w:t>
            </w:r>
          </w:p>
        </w:tc>
        <w:tc>
          <w:tcPr>
            <w:tcW w:w="1530" w:type="dxa"/>
          </w:tcPr>
          <w:p w14:paraId="05DDC59D" w14:textId="77777777" w:rsidR="00975250" w:rsidRPr="006548D8" w:rsidRDefault="00975250" w:rsidP="00462DCE">
            <w:pPr>
              <w:spacing w:after="200" w:line="276" w:lineRule="auto"/>
              <w:rPr>
                <w:b/>
                <w:bCs/>
              </w:rPr>
            </w:pPr>
            <w:r w:rsidRPr="006548D8">
              <w:rPr>
                <w:bCs/>
              </w:rPr>
              <w:t>1535 Bishop St N</w:t>
            </w:r>
          </w:p>
        </w:tc>
        <w:tc>
          <w:tcPr>
            <w:tcW w:w="2880" w:type="dxa"/>
          </w:tcPr>
          <w:p w14:paraId="27F2DEB2" w14:textId="77777777" w:rsidR="00975250" w:rsidRPr="006548D8" w:rsidRDefault="00975250" w:rsidP="00462DCE">
            <w:pPr>
              <w:spacing w:after="200" w:line="276" w:lineRule="auto"/>
              <w:rPr>
                <w:b/>
                <w:bCs/>
              </w:rPr>
            </w:pPr>
            <w:r w:rsidRPr="006548D8">
              <w:rPr>
                <w:bCs/>
              </w:rPr>
              <w:t>SAC: 1-MSD1PB</w:t>
            </w:r>
          </w:p>
          <w:p w14:paraId="2B561128" w14:textId="77777777" w:rsidR="00975250" w:rsidRPr="006548D8" w:rsidRDefault="00975250" w:rsidP="00462DCE">
            <w:pPr>
              <w:spacing w:after="200" w:line="276" w:lineRule="auto"/>
              <w:rPr>
                <w:b/>
                <w:bCs/>
              </w:rPr>
            </w:pPr>
            <w:r w:rsidRPr="006548D8">
              <w:rPr>
                <w:bCs/>
              </w:rPr>
              <w:t>Volume: ~1000L</w:t>
            </w:r>
          </w:p>
          <w:p w14:paraId="1FDCF1BE" w14:textId="77777777" w:rsidR="00975250" w:rsidRPr="006548D8" w:rsidRDefault="00975250" w:rsidP="00462DCE">
            <w:pPr>
              <w:spacing w:after="200" w:line="276" w:lineRule="auto"/>
              <w:rPr>
                <w:b/>
                <w:bCs/>
              </w:rPr>
            </w:pPr>
            <w:r w:rsidRPr="006548D8">
              <w:rPr>
                <w:bCs/>
              </w:rPr>
              <w:t>Sewage leaked out of a Vactor Truck onto a concrete surface.</w:t>
            </w:r>
          </w:p>
        </w:tc>
        <w:tc>
          <w:tcPr>
            <w:tcW w:w="3803" w:type="dxa"/>
          </w:tcPr>
          <w:p w14:paraId="7A32C110" w14:textId="77777777" w:rsidR="00975250" w:rsidRPr="006548D8" w:rsidRDefault="00975250" w:rsidP="00462DCE">
            <w:pPr>
              <w:spacing w:after="200" w:line="276" w:lineRule="auto"/>
              <w:rPr>
                <w:b/>
                <w:bCs/>
              </w:rPr>
            </w:pPr>
            <w:r w:rsidRPr="006548D8">
              <w:rPr>
                <w:bCs/>
              </w:rPr>
              <w:t>The City hydrovaced the affected area. No sewage entered stormwater infrastructure during the event.</w:t>
            </w:r>
          </w:p>
        </w:tc>
      </w:tr>
      <w:tr w:rsidR="00975250" w14:paraId="5524E3C1" w14:textId="77777777" w:rsidTr="00D1686E">
        <w:trPr>
          <w:cantSplit/>
        </w:trPr>
        <w:tc>
          <w:tcPr>
            <w:tcW w:w="355" w:type="dxa"/>
          </w:tcPr>
          <w:p w14:paraId="22E37968" w14:textId="77777777" w:rsidR="00975250" w:rsidRPr="006548D8" w:rsidRDefault="00975250" w:rsidP="00462DCE">
            <w:pPr>
              <w:spacing w:after="200" w:line="276" w:lineRule="auto"/>
            </w:pPr>
            <w:r w:rsidRPr="006548D8">
              <w:lastRenderedPageBreak/>
              <w:t>4</w:t>
            </w:r>
          </w:p>
        </w:tc>
        <w:tc>
          <w:tcPr>
            <w:tcW w:w="1530" w:type="dxa"/>
          </w:tcPr>
          <w:p w14:paraId="0BB55F74" w14:textId="77777777" w:rsidR="00975250" w:rsidRPr="006548D8" w:rsidRDefault="00975250" w:rsidP="00462DCE">
            <w:pPr>
              <w:spacing w:after="200" w:line="276" w:lineRule="auto"/>
              <w:rPr>
                <w:b/>
                <w:bCs/>
              </w:rPr>
            </w:pPr>
            <w:r w:rsidRPr="006548D8">
              <w:rPr>
                <w:bCs/>
              </w:rPr>
              <w:t>2025-10-02</w:t>
            </w:r>
          </w:p>
        </w:tc>
        <w:tc>
          <w:tcPr>
            <w:tcW w:w="1530" w:type="dxa"/>
          </w:tcPr>
          <w:p w14:paraId="481BA25B" w14:textId="77777777" w:rsidR="00975250" w:rsidRPr="006548D8" w:rsidRDefault="00975250" w:rsidP="00462DCE">
            <w:pPr>
              <w:spacing w:after="200" w:line="276" w:lineRule="auto"/>
              <w:rPr>
                <w:b/>
                <w:bCs/>
              </w:rPr>
            </w:pPr>
            <w:r w:rsidRPr="006548D8">
              <w:rPr>
                <w:bCs/>
              </w:rPr>
              <w:t>1010 Elgin St N</w:t>
            </w:r>
          </w:p>
        </w:tc>
        <w:tc>
          <w:tcPr>
            <w:tcW w:w="2880" w:type="dxa"/>
          </w:tcPr>
          <w:p w14:paraId="67306641" w14:textId="77777777" w:rsidR="00975250" w:rsidRPr="006548D8" w:rsidRDefault="00975250" w:rsidP="00462DCE">
            <w:pPr>
              <w:spacing w:after="200" w:line="276" w:lineRule="auto"/>
              <w:rPr>
                <w:b/>
                <w:bCs/>
              </w:rPr>
            </w:pPr>
            <w:r w:rsidRPr="006548D8">
              <w:rPr>
                <w:bCs/>
              </w:rPr>
              <w:t>SAC: 1-PLGGMQ</w:t>
            </w:r>
          </w:p>
          <w:p w14:paraId="46CFCCB7" w14:textId="77777777" w:rsidR="00975250" w:rsidRPr="006548D8" w:rsidRDefault="00975250" w:rsidP="00462DCE">
            <w:pPr>
              <w:spacing w:after="200" w:line="276" w:lineRule="auto"/>
              <w:rPr>
                <w:b/>
                <w:bCs/>
              </w:rPr>
            </w:pPr>
            <w:r w:rsidRPr="006548D8">
              <w:rPr>
                <w:bCs/>
              </w:rPr>
              <w:t>Volume: ~ 1 year’s worth of public washroom usage</w:t>
            </w:r>
          </w:p>
          <w:p w14:paraId="2CED610C" w14:textId="77777777" w:rsidR="00975250" w:rsidRPr="006548D8" w:rsidRDefault="00975250" w:rsidP="00462DCE">
            <w:pPr>
              <w:spacing w:after="200" w:line="276" w:lineRule="auto"/>
              <w:rPr>
                <w:b/>
                <w:bCs/>
              </w:rPr>
            </w:pPr>
            <w:r w:rsidRPr="006548D8">
              <w:rPr>
                <w:bCs/>
              </w:rPr>
              <w:t>A sanitary line from a business was tied into stormwater infrastructure during a recent renovation of the business.</w:t>
            </w:r>
          </w:p>
        </w:tc>
        <w:tc>
          <w:tcPr>
            <w:tcW w:w="3803" w:type="dxa"/>
          </w:tcPr>
          <w:p w14:paraId="29B0D7A9" w14:textId="77777777" w:rsidR="00975250" w:rsidRPr="006548D8" w:rsidRDefault="00975250" w:rsidP="00462DCE">
            <w:pPr>
              <w:spacing w:after="200" w:line="276" w:lineRule="auto"/>
              <w:rPr>
                <w:b/>
                <w:bCs/>
              </w:rPr>
            </w:pPr>
            <w:r w:rsidRPr="006548D8">
              <w:rPr>
                <w:bCs/>
              </w:rPr>
              <w:t>The City flushed the affected stormwater infrastructure and cleaned the affected storm pond outfall.</w:t>
            </w:r>
          </w:p>
          <w:p w14:paraId="004E411F" w14:textId="56E410EC" w:rsidR="00975250" w:rsidRPr="006548D8" w:rsidRDefault="00975250" w:rsidP="00462DCE">
            <w:pPr>
              <w:spacing w:after="200" w:line="276" w:lineRule="auto"/>
              <w:rPr>
                <w:b/>
                <w:bCs/>
              </w:rPr>
            </w:pPr>
            <w:r w:rsidRPr="006548D8">
              <w:rPr>
                <w:bCs/>
              </w:rPr>
              <w:t>The City has told the offending business to suspend operations and not run any water on site until the issue has been resolved internally.</w:t>
            </w:r>
          </w:p>
        </w:tc>
      </w:tr>
    </w:tbl>
    <w:p w14:paraId="4E859273" w14:textId="6F897DDE" w:rsidR="00975250" w:rsidRPr="009E5CCD" w:rsidRDefault="00975250" w:rsidP="00975250">
      <w:pPr>
        <w:rPr>
          <w:b/>
        </w:rPr>
      </w:pPr>
    </w:p>
    <w:p w14:paraId="755026A8" w14:textId="77777777" w:rsidR="00975250" w:rsidRPr="009E5CCD" w:rsidRDefault="00975250" w:rsidP="00975250">
      <w:pPr>
        <w:rPr>
          <w:b/>
          <w:bCs/>
          <w:szCs w:val="24"/>
        </w:rPr>
      </w:pPr>
      <w:r w:rsidRPr="009E5CCD">
        <w:rPr>
          <w:b/>
          <w:bCs/>
          <w:szCs w:val="24"/>
        </w:rPr>
        <w:t>EXISTING POLICY / BY-LAW(S):</w:t>
      </w:r>
    </w:p>
    <w:p w14:paraId="1EE7F5EA" w14:textId="0E3FF9CA" w:rsidR="00975250" w:rsidRPr="009E5CCD" w:rsidRDefault="00975250" w:rsidP="00975250">
      <w:pPr>
        <w:rPr>
          <w:rFonts w:eastAsia="Arial"/>
          <w:b/>
          <w:bCs/>
          <w:szCs w:val="24"/>
        </w:rPr>
      </w:pPr>
      <w:r w:rsidRPr="009E5CCD">
        <w:rPr>
          <w:rFonts w:eastAsia="Arial"/>
          <w:b/>
          <w:bCs/>
          <w:szCs w:val="24"/>
        </w:rPr>
        <w:t>City of Cambridge Wastewater Quality Management System Policy</w:t>
      </w:r>
    </w:p>
    <w:p w14:paraId="43D1E7A7" w14:textId="77777777" w:rsidR="00975250" w:rsidRPr="0014460E" w:rsidRDefault="00975250" w:rsidP="00975250">
      <w:pPr>
        <w:rPr>
          <w:rFonts w:eastAsia="Arial"/>
          <w:b/>
          <w:szCs w:val="24"/>
        </w:rPr>
      </w:pPr>
      <w:r w:rsidRPr="0014460E">
        <w:rPr>
          <w:rFonts w:eastAsia="Arial"/>
          <w:szCs w:val="24"/>
        </w:rPr>
        <w:t>As the owners and operators of the City of Cambridge’s wastewater collection system we are committed to:</w:t>
      </w:r>
    </w:p>
    <w:p w14:paraId="66B0BCBE" w14:textId="77777777" w:rsidR="00975250" w:rsidRPr="0014460E" w:rsidRDefault="00975250" w:rsidP="00975250">
      <w:pPr>
        <w:numPr>
          <w:ilvl w:val="0"/>
          <w:numId w:val="6"/>
        </w:numPr>
        <w:rPr>
          <w:rFonts w:eastAsia="Arial"/>
          <w:b/>
          <w:szCs w:val="24"/>
        </w:rPr>
      </w:pPr>
      <w:r w:rsidRPr="0014460E">
        <w:rPr>
          <w:rFonts w:eastAsia="Arial"/>
          <w:szCs w:val="24"/>
        </w:rPr>
        <w:t>Providing safe and reliable sanitary service to our consumers while preventing environmental pollution.</w:t>
      </w:r>
    </w:p>
    <w:p w14:paraId="2545C561" w14:textId="77777777" w:rsidR="00975250" w:rsidRDefault="00975250" w:rsidP="00975250">
      <w:pPr>
        <w:numPr>
          <w:ilvl w:val="0"/>
          <w:numId w:val="6"/>
        </w:numPr>
        <w:rPr>
          <w:rFonts w:eastAsia="Arial"/>
          <w:b/>
          <w:szCs w:val="24"/>
        </w:rPr>
      </w:pPr>
      <w:r w:rsidRPr="0014460E">
        <w:rPr>
          <w:rFonts w:eastAsia="Arial"/>
          <w:szCs w:val="24"/>
        </w:rPr>
        <w:t>Complying with all legal requirements and wastewater regulations.</w:t>
      </w:r>
    </w:p>
    <w:p w14:paraId="00B1D37D" w14:textId="0867B965" w:rsidR="00975250" w:rsidRPr="005F14B5" w:rsidRDefault="00975250" w:rsidP="00975250">
      <w:pPr>
        <w:numPr>
          <w:ilvl w:val="0"/>
          <w:numId w:val="6"/>
        </w:numPr>
        <w:rPr>
          <w:rFonts w:eastAsia="Arial"/>
          <w:b/>
          <w:szCs w:val="24"/>
        </w:rPr>
      </w:pPr>
      <w:r w:rsidRPr="005F14B5">
        <w:rPr>
          <w:rFonts w:eastAsia="Arial"/>
          <w:szCs w:val="24"/>
        </w:rPr>
        <w:t>Maintaining and continually improving our Quality Management System.</w:t>
      </w:r>
    </w:p>
    <w:p w14:paraId="60060623" w14:textId="77777777" w:rsidR="00975250" w:rsidRPr="009E5CCD" w:rsidRDefault="00975250" w:rsidP="00975250">
      <w:pPr>
        <w:rPr>
          <w:b/>
          <w:bCs/>
          <w:szCs w:val="24"/>
        </w:rPr>
      </w:pPr>
      <w:r w:rsidRPr="009E5CCD">
        <w:rPr>
          <w:b/>
          <w:bCs/>
          <w:szCs w:val="24"/>
        </w:rPr>
        <w:t>FINANCIAL IMPACT:</w:t>
      </w:r>
    </w:p>
    <w:sdt>
      <w:sdtPr>
        <w:rPr>
          <w:rFonts w:eastAsia="Arial"/>
          <w:b/>
          <w:szCs w:val="24"/>
        </w:rPr>
        <w:id w:val="-1586289818"/>
        <w:placeholder>
          <w:docPart w:val="1C94DCAF642A47FAA0D26D44612920BA"/>
        </w:placeholder>
      </w:sdtPr>
      <w:sdtEndPr/>
      <w:sdtContent>
        <w:sdt>
          <w:sdtPr>
            <w:rPr>
              <w:rFonts w:eastAsia="Arial"/>
              <w:szCs w:val="24"/>
              <w:highlight w:val="yellow"/>
            </w:rPr>
            <w:id w:val="-792896721"/>
            <w:placeholder>
              <w:docPart w:val="45F38C962A0241CDA7D0DB593CC87A89"/>
            </w:placeholder>
          </w:sdtPr>
          <w:sdtEndPr/>
          <w:sdtContent>
            <w:sdt>
              <w:sdtPr>
                <w:rPr>
                  <w:rFonts w:eastAsia="Arial"/>
                  <w:b/>
                </w:rPr>
                <w:id w:val="-1468962974"/>
                <w:placeholder>
                  <w:docPart w:val="891B8FCAE5A145D6B09E2CB91801C5D3"/>
                </w:placeholder>
              </w:sdtPr>
              <w:sdtEndPr>
                <w:rPr>
                  <w:rFonts w:eastAsia="Times New Roman"/>
                  <w:bCs/>
                  <w:szCs w:val="24"/>
                </w:rPr>
              </w:sdtEndPr>
              <w:sdtContent>
                <w:p w14:paraId="51AE8CC5" w14:textId="01463765" w:rsidR="00155047" w:rsidRPr="009E5CCD" w:rsidRDefault="00975250" w:rsidP="00155047">
                  <w:pPr>
                    <w:rPr>
                      <w:bCs/>
                      <w:lang w:val="en-CA"/>
                    </w:rPr>
                  </w:pPr>
                  <w:r w:rsidRPr="00BD7B8F">
                    <w:rPr>
                      <w:bCs/>
                      <w:szCs w:val="24"/>
                    </w:rPr>
                    <w:t>The 202</w:t>
                  </w:r>
                  <w:r>
                    <w:rPr>
                      <w:bCs/>
                      <w:szCs w:val="24"/>
                    </w:rPr>
                    <w:t>5</w:t>
                  </w:r>
                  <w:r w:rsidRPr="00BD7B8F">
                    <w:rPr>
                      <w:bCs/>
                      <w:szCs w:val="24"/>
                    </w:rPr>
                    <w:t xml:space="preserve"> operational budget for Wastewater was $</w:t>
                  </w:r>
                  <w:r>
                    <w:rPr>
                      <w:bCs/>
                      <w:szCs w:val="24"/>
                    </w:rPr>
                    <w:t xml:space="preserve">41,034,900, up from </w:t>
                  </w:r>
                  <w:r w:rsidRPr="00BD7B8F">
                    <w:rPr>
                      <w:bCs/>
                      <w:szCs w:val="24"/>
                    </w:rPr>
                    <w:t>$38,871,800</w:t>
                  </w:r>
                  <w:r>
                    <w:rPr>
                      <w:bCs/>
                      <w:szCs w:val="24"/>
                    </w:rPr>
                    <w:t xml:space="preserve"> in </w:t>
                  </w:r>
                  <w:r w:rsidRPr="00BD7B8F">
                    <w:rPr>
                      <w:bCs/>
                      <w:szCs w:val="24"/>
                    </w:rPr>
                    <w:t>202</w:t>
                  </w:r>
                  <w:r>
                    <w:rPr>
                      <w:bCs/>
                      <w:szCs w:val="24"/>
                    </w:rPr>
                    <w:t>4. The operational budget is projected to be $41,967,400 in 2026.</w:t>
                  </w:r>
                </w:p>
              </w:sdtContent>
            </w:sdt>
          </w:sdtContent>
        </w:sdt>
      </w:sdtContent>
    </w:sdt>
    <w:p w14:paraId="307468F8" w14:textId="727664E3" w:rsidR="00473D1C" w:rsidRPr="00BC2A2B" w:rsidRDefault="00623AAE" w:rsidP="00BC2A2B">
      <w:pPr>
        <w:pStyle w:val="Heading1"/>
      </w:pPr>
      <w:r w:rsidRPr="00BC2A2B">
        <w:t>Attachments</w:t>
      </w:r>
    </w:p>
    <w:p w14:paraId="307468F9" w14:textId="58354C43" w:rsidR="00FB4908" w:rsidRDefault="009E5CCD" w:rsidP="003833A9">
      <w:r>
        <w:t>Appendix A: 2025 Newton Landfill Sampling Report</w:t>
      </w:r>
    </w:p>
    <w:tbl>
      <w:tblPr>
        <w:tblStyle w:val="TableGrid"/>
        <w:tblW w:w="0" w:type="auto"/>
        <w:tblLook w:val="04A0" w:firstRow="1" w:lastRow="0" w:firstColumn="1" w:lastColumn="0" w:noHBand="0" w:noVBand="1"/>
      </w:tblPr>
      <w:tblGrid>
        <w:gridCol w:w="10206"/>
      </w:tblGrid>
      <w:tr w:rsidR="00155047" w14:paraId="77E01401" w14:textId="77777777" w:rsidTr="00462DCE">
        <w:tc>
          <w:tcPr>
            <w:tcW w:w="10206" w:type="dxa"/>
          </w:tcPr>
          <w:p w14:paraId="0225983A" w14:textId="77777777" w:rsidR="00155047" w:rsidRPr="00472007" w:rsidRDefault="00155047" w:rsidP="00462DCE">
            <w:pPr>
              <w:tabs>
                <w:tab w:val="left" w:pos="2889"/>
              </w:tabs>
              <w:rPr>
                <w:b/>
              </w:rPr>
            </w:pPr>
            <w:r>
              <w:rPr>
                <w:b/>
              </w:rPr>
              <w:t>Approvals:</w:t>
            </w:r>
          </w:p>
          <w:p w14:paraId="774D9F2A" w14:textId="7DA08ABA" w:rsidR="00155047" w:rsidRDefault="00611FA7" w:rsidP="00462DCE">
            <w:pPr>
              <w:tabs>
                <w:tab w:val="left" w:pos="2889"/>
              </w:tabs>
            </w:pPr>
            <w:sdt>
              <w:sdtPr>
                <w:id w:val="-891891260"/>
                <w14:checkbox>
                  <w14:checked w14:val="1"/>
                  <w14:checkedState w14:val="2612" w14:font="MS Gothic"/>
                  <w14:uncheckedState w14:val="2610" w14:font="MS Gothic"/>
                </w14:checkbox>
              </w:sdtPr>
              <w:sdtEndPr/>
              <w:sdtContent>
                <w:r w:rsidR="00F66975">
                  <w:rPr>
                    <w:rFonts w:ascii="MS Gothic" w:eastAsia="MS Gothic" w:hAnsi="MS Gothic" w:hint="eastAsia"/>
                  </w:rPr>
                  <w:t>☒</w:t>
                </w:r>
              </w:sdtContent>
            </w:sdt>
            <w:r w:rsidR="00155047">
              <w:t xml:space="preserve"> Manager/Supervisor                    </w:t>
            </w:r>
            <w:sdt>
              <w:sdtPr>
                <w:id w:val="391474273"/>
                <w14:checkbox>
                  <w14:checked w14:val="1"/>
                  <w14:checkedState w14:val="2612" w14:font="MS Gothic"/>
                  <w14:uncheckedState w14:val="2610" w14:font="MS Gothic"/>
                </w14:checkbox>
              </w:sdtPr>
              <w:sdtEndPr/>
              <w:sdtContent>
                <w:r w:rsidR="00F66975">
                  <w:rPr>
                    <w:rFonts w:ascii="MS Gothic" w:eastAsia="MS Gothic" w:hAnsi="MS Gothic" w:hint="eastAsia"/>
                  </w:rPr>
                  <w:t>☒</w:t>
                </w:r>
              </w:sdtContent>
            </w:sdt>
            <w:r w:rsidR="00155047">
              <w:t xml:space="preserve"> General Manager                              </w:t>
            </w:r>
            <w:sdt>
              <w:sdtPr>
                <w:id w:val="1437788131"/>
                <w14:checkbox>
                  <w14:checked w14:val="0"/>
                  <w14:checkedState w14:val="2612" w14:font="MS Gothic"/>
                  <w14:uncheckedState w14:val="2610" w14:font="MS Gothic"/>
                </w14:checkbox>
              </w:sdtPr>
              <w:sdtEndPr/>
              <w:sdtContent>
                <w:r w:rsidR="00155047">
                  <w:rPr>
                    <w:rFonts w:ascii="MS Gothic" w:eastAsia="MS Gothic" w:hAnsi="MS Gothic" w:hint="eastAsia"/>
                  </w:rPr>
                  <w:t>☐</w:t>
                </w:r>
              </w:sdtContent>
            </w:sdt>
            <w:r w:rsidR="00155047">
              <w:t xml:space="preserve"> City Manager</w:t>
            </w:r>
          </w:p>
        </w:tc>
      </w:tr>
    </w:tbl>
    <w:p w14:paraId="38F59FDB" w14:textId="77777777" w:rsidR="00155047" w:rsidRPr="00155047" w:rsidRDefault="00155047" w:rsidP="00155047"/>
    <w:sectPr w:rsidR="00155047" w:rsidRPr="00155047" w:rsidSect="00BC2A2B">
      <w:headerReference w:type="even" r:id="rId16"/>
      <w:headerReference w:type="default" r:id="rId17"/>
      <w:footerReference w:type="even" r:id="rId18"/>
      <w:footerReference w:type="default" r:id="rId19"/>
      <w:headerReference w:type="first" r:id="rId20"/>
      <w:footerReference w:type="first" r:id="rId21"/>
      <w:pgSz w:w="12240" w:h="15840" w:code="1"/>
      <w:pgMar w:top="288" w:right="990" w:bottom="1440" w:left="126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AF4E" w14:textId="77777777" w:rsidR="00611FA7" w:rsidRDefault="00611FA7" w:rsidP="0070379C">
      <w:r>
        <w:separator/>
      </w:r>
    </w:p>
  </w:endnote>
  <w:endnote w:type="continuationSeparator" w:id="0">
    <w:p w14:paraId="6EABB392" w14:textId="77777777" w:rsidR="00611FA7" w:rsidRDefault="00611FA7" w:rsidP="0070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0" w14:textId="77777777" w:rsidR="007840A9" w:rsidRDefault="00784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1" w14:textId="77777777" w:rsidR="007840A9" w:rsidRDefault="007840A9" w:rsidP="007840A9">
    <w:pPr>
      <w:pStyle w:val="Footer"/>
      <w:spacing w:before="0" w:after="100" w:afterAutospacing="1"/>
      <w:ind w:left="-1080" w:hanging="270"/>
      <w:jc w:val="center"/>
    </w:pPr>
    <w:r>
      <w:rPr>
        <w:noProof/>
      </w:rPr>
      <w:drawing>
        <wp:inline distT="0" distB="0" distL="0" distR="0" wp14:anchorId="30746906" wp14:editId="30746907">
          <wp:extent cx="7976912" cy="237744"/>
          <wp:effectExtent l="0" t="0" r="0" b="0"/>
          <wp:docPr id="3" name="Picture 3" title="Footer: Inclusiveness, Respect, Integr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72Hight.png"/>
                  <pic:cNvPicPr/>
                </pic:nvPicPr>
                <pic:blipFill>
                  <a:blip r:embed="rId1">
                    <a:extLst>
                      <a:ext uri="{28A0092B-C50C-407E-A947-70E740481C1C}">
                        <a14:useLocalDpi xmlns:a14="http://schemas.microsoft.com/office/drawing/2010/main" val="0"/>
                      </a:ext>
                    </a:extLst>
                  </a:blip>
                  <a:stretch>
                    <a:fillRect/>
                  </a:stretch>
                </pic:blipFill>
                <pic:spPr>
                  <a:xfrm>
                    <a:off x="0" y="0"/>
                    <a:ext cx="7976912" cy="23774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3" w14:textId="77777777" w:rsidR="007840A9" w:rsidRDefault="00784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915F" w14:textId="77777777" w:rsidR="00611FA7" w:rsidRDefault="00611FA7" w:rsidP="0070379C">
      <w:r>
        <w:separator/>
      </w:r>
    </w:p>
  </w:footnote>
  <w:footnote w:type="continuationSeparator" w:id="0">
    <w:p w14:paraId="4DEE1199" w14:textId="77777777" w:rsidR="00611FA7" w:rsidRDefault="00611FA7" w:rsidP="00703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8FE" w14:textId="77777777" w:rsidR="007840A9" w:rsidRDefault="00784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8FF" w14:textId="77777777" w:rsidR="007840A9" w:rsidRDefault="007840A9" w:rsidP="00050C8A">
    <w:pPr>
      <w:pStyle w:val="Header"/>
      <w:tabs>
        <w:tab w:val="clear" w:pos="4320"/>
        <w:tab w:val="clear" w:pos="8640"/>
        <w:tab w:val="left" w:pos="3139"/>
      </w:tabs>
      <w:spacing w:before="0" w:after="0"/>
      <w:ind w:left="-720" w:hanging="180"/>
    </w:pPr>
    <w:r>
      <w:rPr>
        <w:noProof/>
      </w:rPr>
      <w:drawing>
        <wp:inline distT="0" distB="0" distL="0" distR="0" wp14:anchorId="30746904" wp14:editId="30746905">
          <wp:extent cx="2039112" cy="640080"/>
          <wp:effectExtent l="0" t="0" r="0" b="7620"/>
          <wp:docPr id="2" name="Picture 2" title="City of Cambri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PP-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9112" cy="640080"/>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46902" w14:textId="77777777" w:rsidR="007840A9" w:rsidRDefault="007840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5E00"/>
    <w:multiLevelType w:val="hybridMultilevel"/>
    <w:tmpl w:val="C2548C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6A2615"/>
    <w:multiLevelType w:val="hybridMultilevel"/>
    <w:tmpl w:val="61742E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329E26D6"/>
    <w:multiLevelType w:val="hybridMultilevel"/>
    <w:tmpl w:val="3752B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55F2E95"/>
    <w:multiLevelType w:val="multilevel"/>
    <w:tmpl w:val="ACEC896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C324176"/>
    <w:multiLevelType w:val="hybridMultilevel"/>
    <w:tmpl w:val="2D4AF6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74345238"/>
    <w:multiLevelType w:val="hybridMultilevel"/>
    <w:tmpl w:val="AC2C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334662">
    <w:abstractNumId w:val="4"/>
  </w:num>
  <w:num w:numId="2" w16cid:durableId="1760446400">
    <w:abstractNumId w:val="1"/>
  </w:num>
  <w:num w:numId="3" w16cid:durableId="1018118890">
    <w:abstractNumId w:val="2"/>
  </w:num>
  <w:num w:numId="4" w16cid:durableId="1254581800">
    <w:abstractNumId w:val="0"/>
  </w:num>
  <w:num w:numId="5" w16cid:durableId="11824762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495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E8"/>
    <w:rsid w:val="00050C8A"/>
    <w:rsid w:val="00051647"/>
    <w:rsid w:val="00053A5D"/>
    <w:rsid w:val="000705A5"/>
    <w:rsid w:val="00081FE8"/>
    <w:rsid w:val="00082A6F"/>
    <w:rsid w:val="00087390"/>
    <w:rsid w:val="00093E86"/>
    <w:rsid w:val="000A212E"/>
    <w:rsid w:val="000F2667"/>
    <w:rsid w:val="00101D59"/>
    <w:rsid w:val="00115174"/>
    <w:rsid w:val="0012411E"/>
    <w:rsid w:val="00130B7B"/>
    <w:rsid w:val="0013373A"/>
    <w:rsid w:val="00155047"/>
    <w:rsid w:val="00157C0A"/>
    <w:rsid w:val="00161D9C"/>
    <w:rsid w:val="00187B53"/>
    <w:rsid w:val="001C2A4E"/>
    <w:rsid w:val="001F6322"/>
    <w:rsid w:val="002066FC"/>
    <w:rsid w:val="00227D38"/>
    <w:rsid w:val="00242B23"/>
    <w:rsid w:val="00275D2F"/>
    <w:rsid w:val="00290ABB"/>
    <w:rsid w:val="0029361C"/>
    <w:rsid w:val="002956D7"/>
    <w:rsid w:val="002D2FB7"/>
    <w:rsid w:val="002E736D"/>
    <w:rsid w:val="00307C2A"/>
    <w:rsid w:val="00310C83"/>
    <w:rsid w:val="003200EC"/>
    <w:rsid w:val="00330DEF"/>
    <w:rsid w:val="003833A9"/>
    <w:rsid w:val="003853DA"/>
    <w:rsid w:val="0039038D"/>
    <w:rsid w:val="003B1999"/>
    <w:rsid w:val="003B6CCE"/>
    <w:rsid w:val="003D3F12"/>
    <w:rsid w:val="004352A2"/>
    <w:rsid w:val="0045556F"/>
    <w:rsid w:val="00460CCE"/>
    <w:rsid w:val="00473D1C"/>
    <w:rsid w:val="00474CE0"/>
    <w:rsid w:val="004766FC"/>
    <w:rsid w:val="00484A7F"/>
    <w:rsid w:val="004C4292"/>
    <w:rsid w:val="004C6B36"/>
    <w:rsid w:val="004D3894"/>
    <w:rsid w:val="004E0CA8"/>
    <w:rsid w:val="004F5E0F"/>
    <w:rsid w:val="005420B1"/>
    <w:rsid w:val="00567E31"/>
    <w:rsid w:val="005805DA"/>
    <w:rsid w:val="00581D4F"/>
    <w:rsid w:val="005914C6"/>
    <w:rsid w:val="00594949"/>
    <w:rsid w:val="005A3CBC"/>
    <w:rsid w:val="005D744D"/>
    <w:rsid w:val="005E4A56"/>
    <w:rsid w:val="00607D1A"/>
    <w:rsid w:val="00611FA7"/>
    <w:rsid w:val="00623AAE"/>
    <w:rsid w:val="00653A53"/>
    <w:rsid w:val="006607BA"/>
    <w:rsid w:val="00662B8C"/>
    <w:rsid w:val="006943FE"/>
    <w:rsid w:val="0069694A"/>
    <w:rsid w:val="006F2A8A"/>
    <w:rsid w:val="006F3A7C"/>
    <w:rsid w:val="0070379C"/>
    <w:rsid w:val="00733512"/>
    <w:rsid w:val="00736A9D"/>
    <w:rsid w:val="007373D4"/>
    <w:rsid w:val="00754404"/>
    <w:rsid w:val="00771C44"/>
    <w:rsid w:val="007840A9"/>
    <w:rsid w:val="007A11D9"/>
    <w:rsid w:val="007A67C9"/>
    <w:rsid w:val="007E6418"/>
    <w:rsid w:val="008415B8"/>
    <w:rsid w:val="00843B4D"/>
    <w:rsid w:val="00885927"/>
    <w:rsid w:val="00887ABC"/>
    <w:rsid w:val="008A23BD"/>
    <w:rsid w:val="008E2CD8"/>
    <w:rsid w:val="008E5EBF"/>
    <w:rsid w:val="008E6AFC"/>
    <w:rsid w:val="00913893"/>
    <w:rsid w:val="00924BA3"/>
    <w:rsid w:val="0093014D"/>
    <w:rsid w:val="00937537"/>
    <w:rsid w:val="00943F84"/>
    <w:rsid w:val="00952B27"/>
    <w:rsid w:val="009533E8"/>
    <w:rsid w:val="0096321E"/>
    <w:rsid w:val="00963741"/>
    <w:rsid w:val="00975250"/>
    <w:rsid w:val="0098679A"/>
    <w:rsid w:val="009926CF"/>
    <w:rsid w:val="009A44F8"/>
    <w:rsid w:val="009C30E3"/>
    <w:rsid w:val="009E5CCD"/>
    <w:rsid w:val="009F66A7"/>
    <w:rsid w:val="00A444C2"/>
    <w:rsid w:val="00A47609"/>
    <w:rsid w:val="00A50695"/>
    <w:rsid w:val="00A51D66"/>
    <w:rsid w:val="00A927F5"/>
    <w:rsid w:val="00AA2130"/>
    <w:rsid w:val="00AC6424"/>
    <w:rsid w:val="00B140B3"/>
    <w:rsid w:val="00B22A6E"/>
    <w:rsid w:val="00B267DB"/>
    <w:rsid w:val="00B33AD3"/>
    <w:rsid w:val="00B83B44"/>
    <w:rsid w:val="00B92E5C"/>
    <w:rsid w:val="00BA602D"/>
    <w:rsid w:val="00BA68C9"/>
    <w:rsid w:val="00BB07A4"/>
    <w:rsid w:val="00BB3EB1"/>
    <w:rsid w:val="00BC2A2B"/>
    <w:rsid w:val="00C61E61"/>
    <w:rsid w:val="00C85F73"/>
    <w:rsid w:val="00CB496F"/>
    <w:rsid w:val="00CC15D4"/>
    <w:rsid w:val="00D1535D"/>
    <w:rsid w:val="00D1686E"/>
    <w:rsid w:val="00D2398C"/>
    <w:rsid w:val="00D270E9"/>
    <w:rsid w:val="00D45C2D"/>
    <w:rsid w:val="00D5517B"/>
    <w:rsid w:val="00DA633F"/>
    <w:rsid w:val="00DC5A49"/>
    <w:rsid w:val="00DD0EFD"/>
    <w:rsid w:val="00DE4F54"/>
    <w:rsid w:val="00DF3B77"/>
    <w:rsid w:val="00DF42EA"/>
    <w:rsid w:val="00E00D43"/>
    <w:rsid w:val="00E112E6"/>
    <w:rsid w:val="00E5357A"/>
    <w:rsid w:val="00E54C04"/>
    <w:rsid w:val="00E55155"/>
    <w:rsid w:val="00E601B7"/>
    <w:rsid w:val="00E6361F"/>
    <w:rsid w:val="00EF41E8"/>
    <w:rsid w:val="00F23F0A"/>
    <w:rsid w:val="00F50A63"/>
    <w:rsid w:val="00F54B23"/>
    <w:rsid w:val="00F66975"/>
    <w:rsid w:val="00F7045C"/>
    <w:rsid w:val="00F74E86"/>
    <w:rsid w:val="00F95516"/>
    <w:rsid w:val="00FA1FCF"/>
    <w:rsid w:val="00FB4908"/>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468EF"/>
  <w15:docId w15:val="{018F7D87-2BCB-4D3E-BCFC-2519F47C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0A"/>
    <w:pPr>
      <w:spacing w:before="120"/>
    </w:pPr>
    <w:rPr>
      <w:rFonts w:eastAsia="Times New Roman" w:cs="Times New Roman"/>
      <w:szCs w:val="20"/>
    </w:rPr>
  </w:style>
  <w:style w:type="paragraph" w:styleId="Heading1">
    <w:name w:val="heading 1"/>
    <w:basedOn w:val="Normal"/>
    <w:next w:val="Normal"/>
    <w:link w:val="Heading1Char"/>
    <w:qFormat/>
    <w:rsid w:val="00BC2A2B"/>
    <w:pPr>
      <w:keepNext/>
      <w:pBdr>
        <w:bottom w:val="single" w:sz="18" w:space="1" w:color="3C7090"/>
      </w:pBdr>
      <w:spacing w:after="240" w:line="23" w:lineRule="atLeast"/>
      <w:outlineLvl w:val="0"/>
    </w:pPr>
    <w:rPr>
      <w:rFonts w:asciiTheme="majorHAnsi" w:eastAsiaTheme="majorEastAsia" w:hAnsiTheme="majorHAnsi" w:cstheme="majorBidi"/>
      <w:b/>
      <w:bCs/>
      <w:color w:val="3C7090"/>
      <w:sz w:val="28"/>
      <w:szCs w:val="28"/>
      <w:lang w:val="en-CA"/>
    </w:rPr>
  </w:style>
  <w:style w:type="paragraph" w:styleId="Heading2">
    <w:name w:val="heading 2"/>
    <w:basedOn w:val="Heading1"/>
    <w:next w:val="Normal"/>
    <w:link w:val="Heading2Char"/>
    <w:uiPriority w:val="9"/>
    <w:unhideWhenUsed/>
    <w:qFormat/>
    <w:rsid w:val="007373D4"/>
    <w:pPr>
      <w:spacing w:before="360"/>
      <w:outlineLvl w:val="1"/>
    </w:pPr>
    <w:rPr>
      <w:noProof/>
      <w:lang w:eastAsia="en-CA"/>
    </w:rPr>
  </w:style>
  <w:style w:type="paragraph" w:styleId="Heading3">
    <w:name w:val="heading 3"/>
    <w:basedOn w:val="Heading1"/>
    <w:next w:val="Normal"/>
    <w:link w:val="Heading3Char"/>
    <w:uiPriority w:val="9"/>
    <w:unhideWhenUsed/>
    <w:qFormat/>
    <w:rsid w:val="00A51D66"/>
    <w:pPr>
      <w:outlineLvl w:val="2"/>
    </w:pPr>
    <w:rPr>
      <w:noProof/>
    </w:rPr>
  </w:style>
  <w:style w:type="paragraph" w:styleId="Heading4">
    <w:name w:val="heading 4"/>
    <w:basedOn w:val="Normal"/>
    <w:next w:val="Normal"/>
    <w:link w:val="Heading4Char"/>
    <w:uiPriority w:val="9"/>
    <w:semiHidden/>
    <w:unhideWhenUsed/>
    <w:qFormat/>
    <w:rsid w:val="00662B8C"/>
    <w:pPr>
      <w:spacing w:before="200"/>
      <w:outlineLvl w:val="3"/>
    </w:pPr>
    <w:rPr>
      <w:rFonts w:asciiTheme="majorHAnsi" w:eastAsiaTheme="majorEastAsia" w:hAnsiTheme="majorHAnsi" w:cstheme="majorBidi"/>
      <w:b/>
      <w:bCs/>
      <w:i/>
      <w:iCs/>
      <w:szCs w:val="22"/>
    </w:rPr>
  </w:style>
  <w:style w:type="paragraph" w:styleId="Heading5">
    <w:name w:val="heading 5"/>
    <w:basedOn w:val="Normal"/>
    <w:next w:val="Normal"/>
    <w:link w:val="Heading5Char"/>
    <w:uiPriority w:val="9"/>
    <w:semiHidden/>
    <w:unhideWhenUsed/>
    <w:qFormat/>
    <w:rsid w:val="00662B8C"/>
    <w:pPr>
      <w:spacing w:before="200"/>
      <w:outlineLvl w:val="4"/>
    </w:pPr>
    <w:rPr>
      <w:rFonts w:asciiTheme="majorHAnsi" w:eastAsiaTheme="majorEastAsia" w:hAnsiTheme="majorHAnsi" w:cstheme="majorBidi"/>
      <w:b/>
      <w:bCs/>
      <w:color w:val="7F7F7F" w:themeColor="text1" w:themeTint="80"/>
      <w:szCs w:val="22"/>
    </w:rPr>
  </w:style>
  <w:style w:type="paragraph" w:styleId="Heading6">
    <w:name w:val="heading 6"/>
    <w:basedOn w:val="Normal"/>
    <w:next w:val="Normal"/>
    <w:link w:val="Heading6Char"/>
    <w:uiPriority w:val="9"/>
    <w:semiHidden/>
    <w:unhideWhenUsed/>
    <w:qFormat/>
    <w:rsid w:val="00662B8C"/>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662B8C"/>
    <w:pPr>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662B8C"/>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62B8C"/>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A2B"/>
    <w:rPr>
      <w:rFonts w:asciiTheme="majorHAnsi" w:eastAsiaTheme="majorEastAsia" w:hAnsiTheme="majorHAnsi" w:cstheme="majorBidi"/>
      <w:b/>
      <w:bCs/>
      <w:color w:val="3C7090"/>
      <w:sz w:val="28"/>
      <w:szCs w:val="28"/>
      <w:lang w:val="en-CA"/>
    </w:rPr>
  </w:style>
  <w:style w:type="character" w:customStyle="1" w:styleId="Heading2Char">
    <w:name w:val="Heading 2 Char"/>
    <w:basedOn w:val="DefaultParagraphFont"/>
    <w:link w:val="Heading2"/>
    <w:uiPriority w:val="9"/>
    <w:rsid w:val="007373D4"/>
    <w:rPr>
      <w:rFonts w:asciiTheme="majorHAnsi" w:eastAsiaTheme="majorEastAsia" w:hAnsiTheme="majorHAnsi" w:cstheme="majorBidi"/>
      <w:b/>
      <w:bCs/>
      <w:noProof/>
      <w:color w:val="3C7090"/>
      <w:sz w:val="28"/>
      <w:szCs w:val="28"/>
      <w:lang w:val="en-CA" w:eastAsia="en-CA"/>
    </w:rPr>
  </w:style>
  <w:style w:type="character" w:customStyle="1" w:styleId="Heading3Char">
    <w:name w:val="Heading 3 Char"/>
    <w:basedOn w:val="DefaultParagraphFont"/>
    <w:link w:val="Heading3"/>
    <w:uiPriority w:val="9"/>
    <w:rsid w:val="00A51D66"/>
    <w:rPr>
      <w:rFonts w:asciiTheme="majorHAnsi" w:eastAsiaTheme="majorEastAsia" w:hAnsiTheme="majorHAnsi" w:cstheme="majorBidi"/>
      <w:b/>
      <w:bCs/>
      <w:noProof/>
      <w:color w:val="3C7090"/>
      <w:sz w:val="28"/>
      <w:szCs w:val="28"/>
      <w:lang w:val="en-CA"/>
    </w:rPr>
  </w:style>
  <w:style w:type="character" w:customStyle="1" w:styleId="Heading4Char">
    <w:name w:val="Heading 4 Char"/>
    <w:basedOn w:val="DefaultParagraphFont"/>
    <w:link w:val="Heading4"/>
    <w:uiPriority w:val="9"/>
    <w:semiHidden/>
    <w:rsid w:val="00662B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62B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62B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62B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62B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62B8C"/>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62B8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662B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62B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662B8C"/>
    <w:rPr>
      <w:rFonts w:asciiTheme="majorHAnsi" w:eastAsiaTheme="majorEastAsia" w:hAnsiTheme="majorHAnsi" w:cstheme="majorBidi"/>
      <w:i/>
      <w:iCs/>
      <w:spacing w:val="13"/>
      <w:sz w:val="24"/>
      <w:szCs w:val="24"/>
    </w:rPr>
  </w:style>
  <w:style w:type="character" w:styleId="Strong">
    <w:name w:val="Strong"/>
    <w:uiPriority w:val="22"/>
    <w:qFormat/>
    <w:rsid w:val="00CB496F"/>
  </w:style>
  <w:style w:type="character" w:styleId="Emphasis">
    <w:name w:val="Emphasis"/>
    <w:uiPriority w:val="20"/>
    <w:qFormat/>
    <w:rsid w:val="00662B8C"/>
    <w:rPr>
      <w:b/>
      <w:bCs/>
      <w:i/>
      <w:iCs/>
      <w:spacing w:val="10"/>
      <w:bdr w:val="none" w:sz="0" w:space="0" w:color="auto"/>
      <w:shd w:val="clear" w:color="auto" w:fill="auto"/>
    </w:rPr>
  </w:style>
  <w:style w:type="paragraph" w:styleId="NoSpacing">
    <w:name w:val="No Spacing"/>
    <w:basedOn w:val="Normal"/>
    <w:uiPriority w:val="1"/>
    <w:qFormat/>
    <w:rsid w:val="00662B8C"/>
    <w:rPr>
      <w:rFonts w:eastAsiaTheme="minorHAnsi" w:cstheme="minorBidi"/>
      <w:szCs w:val="22"/>
    </w:rPr>
  </w:style>
  <w:style w:type="paragraph" w:styleId="ListParagraph">
    <w:name w:val="List Paragraph"/>
    <w:basedOn w:val="Normal"/>
    <w:uiPriority w:val="34"/>
    <w:qFormat/>
    <w:rsid w:val="00662B8C"/>
    <w:pPr>
      <w:ind w:left="720"/>
      <w:contextualSpacing/>
    </w:pPr>
    <w:rPr>
      <w:rFonts w:eastAsiaTheme="minorHAnsi" w:cstheme="minorBidi"/>
      <w:szCs w:val="22"/>
    </w:rPr>
  </w:style>
  <w:style w:type="paragraph" w:styleId="Quote">
    <w:name w:val="Quote"/>
    <w:basedOn w:val="Normal"/>
    <w:next w:val="Normal"/>
    <w:link w:val="QuoteChar"/>
    <w:uiPriority w:val="29"/>
    <w:qFormat/>
    <w:rsid w:val="00662B8C"/>
    <w:pPr>
      <w:spacing w:before="200"/>
      <w:ind w:left="360" w:right="360"/>
    </w:pPr>
    <w:rPr>
      <w:rFonts w:eastAsiaTheme="minorHAnsi" w:cstheme="minorBidi"/>
      <w:i/>
      <w:iCs/>
      <w:szCs w:val="22"/>
    </w:rPr>
  </w:style>
  <w:style w:type="character" w:customStyle="1" w:styleId="QuoteChar">
    <w:name w:val="Quote Char"/>
    <w:basedOn w:val="DefaultParagraphFont"/>
    <w:link w:val="Quote"/>
    <w:uiPriority w:val="29"/>
    <w:rsid w:val="00662B8C"/>
    <w:rPr>
      <w:i/>
      <w:iCs/>
    </w:rPr>
  </w:style>
  <w:style w:type="paragraph" w:styleId="IntenseQuote">
    <w:name w:val="Intense Quote"/>
    <w:basedOn w:val="Normal"/>
    <w:next w:val="Normal"/>
    <w:link w:val="IntenseQuoteChar"/>
    <w:uiPriority w:val="30"/>
    <w:qFormat/>
    <w:rsid w:val="00662B8C"/>
    <w:pPr>
      <w:pBdr>
        <w:bottom w:val="single" w:sz="4" w:space="1" w:color="auto"/>
      </w:pBdr>
      <w:spacing w:before="200" w:after="280"/>
      <w:ind w:left="1008" w:right="1152"/>
      <w:jc w:val="both"/>
    </w:pPr>
    <w:rPr>
      <w:rFonts w:eastAsiaTheme="minorHAnsi" w:cstheme="minorBidi"/>
      <w:b/>
      <w:bCs/>
      <w:i/>
      <w:iCs/>
      <w:szCs w:val="22"/>
    </w:rPr>
  </w:style>
  <w:style w:type="character" w:customStyle="1" w:styleId="IntenseQuoteChar">
    <w:name w:val="Intense Quote Char"/>
    <w:basedOn w:val="DefaultParagraphFont"/>
    <w:link w:val="IntenseQuote"/>
    <w:uiPriority w:val="30"/>
    <w:rsid w:val="00662B8C"/>
    <w:rPr>
      <w:b/>
      <w:bCs/>
      <w:i/>
      <w:iCs/>
    </w:rPr>
  </w:style>
  <w:style w:type="character" w:styleId="SubtleEmphasis">
    <w:name w:val="Subtle Emphasis"/>
    <w:uiPriority w:val="19"/>
    <w:qFormat/>
    <w:rsid w:val="00662B8C"/>
    <w:rPr>
      <w:i/>
      <w:iCs/>
    </w:rPr>
  </w:style>
  <w:style w:type="character" w:styleId="IntenseEmphasis">
    <w:name w:val="Intense Emphasis"/>
    <w:uiPriority w:val="21"/>
    <w:qFormat/>
    <w:rsid w:val="00662B8C"/>
    <w:rPr>
      <w:b/>
      <w:bCs/>
    </w:rPr>
  </w:style>
  <w:style w:type="character" w:styleId="SubtleReference">
    <w:name w:val="Subtle Reference"/>
    <w:uiPriority w:val="31"/>
    <w:qFormat/>
    <w:rsid w:val="00662B8C"/>
    <w:rPr>
      <w:smallCaps/>
    </w:rPr>
  </w:style>
  <w:style w:type="character" w:styleId="IntenseReference">
    <w:name w:val="Intense Reference"/>
    <w:uiPriority w:val="32"/>
    <w:qFormat/>
    <w:rsid w:val="00662B8C"/>
    <w:rPr>
      <w:smallCaps/>
      <w:spacing w:val="5"/>
      <w:u w:val="single"/>
    </w:rPr>
  </w:style>
  <w:style w:type="character" w:styleId="BookTitle">
    <w:name w:val="Book Title"/>
    <w:uiPriority w:val="33"/>
    <w:qFormat/>
    <w:rsid w:val="00662B8C"/>
    <w:rPr>
      <w:i/>
      <w:iCs/>
      <w:smallCaps/>
      <w:spacing w:val="5"/>
    </w:rPr>
  </w:style>
  <w:style w:type="paragraph" w:styleId="TOCHeading">
    <w:name w:val="TOC Heading"/>
    <w:basedOn w:val="Heading1"/>
    <w:next w:val="Normal"/>
    <w:uiPriority w:val="39"/>
    <w:semiHidden/>
    <w:unhideWhenUsed/>
    <w:qFormat/>
    <w:rsid w:val="00662B8C"/>
    <w:pPr>
      <w:outlineLvl w:val="9"/>
    </w:pPr>
    <w:rPr>
      <w:lang w:bidi="en-US"/>
    </w:rPr>
  </w:style>
  <w:style w:type="paragraph" w:styleId="Header">
    <w:name w:val="header"/>
    <w:basedOn w:val="Normal"/>
    <w:link w:val="HeaderChar"/>
    <w:rsid w:val="0070379C"/>
    <w:pPr>
      <w:tabs>
        <w:tab w:val="center" w:pos="4320"/>
        <w:tab w:val="right" w:pos="8640"/>
      </w:tabs>
    </w:pPr>
  </w:style>
  <w:style w:type="character" w:customStyle="1" w:styleId="HeaderChar">
    <w:name w:val="Header Char"/>
    <w:basedOn w:val="DefaultParagraphFont"/>
    <w:link w:val="Header"/>
    <w:rsid w:val="0070379C"/>
    <w:rPr>
      <w:rFonts w:eastAsia="Times New Roman" w:cs="Times New Roman"/>
      <w:szCs w:val="20"/>
    </w:rPr>
  </w:style>
  <w:style w:type="character" w:styleId="PlaceholderText">
    <w:name w:val="Placeholder Text"/>
    <w:basedOn w:val="DefaultParagraphFont"/>
    <w:uiPriority w:val="99"/>
    <w:semiHidden/>
    <w:rsid w:val="0070379C"/>
    <w:rPr>
      <w:color w:val="808080"/>
    </w:rPr>
  </w:style>
  <w:style w:type="paragraph" w:styleId="BalloonText">
    <w:name w:val="Balloon Text"/>
    <w:basedOn w:val="Normal"/>
    <w:link w:val="BalloonTextChar"/>
    <w:uiPriority w:val="99"/>
    <w:semiHidden/>
    <w:unhideWhenUsed/>
    <w:rsid w:val="0070379C"/>
    <w:rPr>
      <w:rFonts w:ascii="Tahoma" w:hAnsi="Tahoma" w:cs="Tahoma"/>
      <w:sz w:val="16"/>
      <w:szCs w:val="16"/>
    </w:rPr>
  </w:style>
  <w:style w:type="character" w:customStyle="1" w:styleId="BalloonTextChar">
    <w:name w:val="Balloon Text Char"/>
    <w:basedOn w:val="DefaultParagraphFont"/>
    <w:link w:val="BalloonText"/>
    <w:uiPriority w:val="99"/>
    <w:semiHidden/>
    <w:rsid w:val="0070379C"/>
    <w:rPr>
      <w:rFonts w:ascii="Tahoma" w:eastAsia="Times New Roman" w:hAnsi="Tahoma" w:cs="Tahoma"/>
      <w:sz w:val="16"/>
      <w:szCs w:val="16"/>
    </w:rPr>
  </w:style>
  <w:style w:type="paragraph" w:styleId="Footer">
    <w:name w:val="footer"/>
    <w:basedOn w:val="Normal"/>
    <w:link w:val="FooterChar"/>
    <w:uiPriority w:val="99"/>
    <w:unhideWhenUsed/>
    <w:rsid w:val="0070379C"/>
    <w:pPr>
      <w:tabs>
        <w:tab w:val="center" w:pos="4680"/>
        <w:tab w:val="right" w:pos="9360"/>
      </w:tabs>
    </w:pPr>
  </w:style>
  <w:style w:type="character" w:customStyle="1" w:styleId="FooterChar">
    <w:name w:val="Footer Char"/>
    <w:basedOn w:val="DefaultParagraphFont"/>
    <w:link w:val="Footer"/>
    <w:uiPriority w:val="99"/>
    <w:rsid w:val="0070379C"/>
    <w:rPr>
      <w:rFonts w:eastAsia="Times New Roman" w:cs="Times New Roman"/>
      <w:szCs w:val="20"/>
    </w:rPr>
  </w:style>
  <w:style w:type="paragraph" w:customStyle="1" w:styleId="Style1">
    <w:name w:val="Style1"/>
    <w:basedOn w:val="Normal"/>
    <w:link w:val="Style1Char"/>
    <w:rsid w:val="008415B8"/>
  </w:style>
  <w:style w:type="character" w:styleId="Hyperlink">
    <w:name w:val="Hyperlink"/>
    <w:basedOn w:val="DefaultParagraphFont"/>
    <w:uiPriority w:val="99"/>
    <w:unhideWhenUsed/>
    <w:rsid w:val="00157C0A"/>
    <w:rPr>
      <w:color w:val="0000FF" w:themeColor="hyperlink"/>
      <w:u w:val="single"/>
    </w:rPr>
  </w:style>
  <w:style w:type="character" w:customStyle="1" w:styleId="Style1Char">
    <w:name w:val="Style1 Char"/>
    <w:basedOn w:val="DefaultParagraphFont"/>
    <w:link w:val="Style1"/>
    <w:rsid w:val="008415B8"/>
    <w:rPr>
      <w:rFonts w:eastAsia="Times New Roman" w:cs="Times New Roman"/>
      <w:szCs w:val="20"/>
    </w:rPr>
  </w:style>
  <w:style w:type="character" w:customStyle="1" w:styleId="Style2Char">
    <w:name w:val="Style2 Char"/>
    <w:basedOn w:val="DefaultParagraphFont"/>
    <w:link w:val="Style2"/>
    <w:locked/>
    <w:rsid w:val="00101D59"/>
    <w:rPr>
      <w:rFonts w:ascii="Calibri" w:eastAsiaTheme="majorEastAsia" w:hAnsi="Calibri" w:cstheme="majorBidi"/>
      <w:b/>
      <w:bCs/>
      <w:color w:val="CC9900"/>
      <w:szCs w:val="24"/>
    </w:rPr>
  </w:style>
  <w:style w:type="paragraph" w:customStyle="1" w:styleId="Style2">
    <w:name w:val="Style2"/>
    <w:basedOn w:val="Heading3"/>
    <w:link w:val="Style2Char"/>
    <w:qFormat/>
    <w:rsid w:val="00101D59"/>
    <w:pPr>
      <w:spacing w:after="0" w:line="266" w:lineRule="auto"/>
    </w:pPr>
    <w:rPr>
      <w:rFonts w:ascii="Calibri" w:hAnsi="Calibri"/>
      <w:color w:val="CC9900"/>
      <w:szCs w:val="24"/>
    </w:rPr>
  </w:style>
  <w:style w:type="character" w:customStyle="1" w:styleId="Style3">
    <w:name w:val="Style3"/>
    <w:basedOn w:val="DefaultParagraphFont"/>
    <w:uiPriority w:val="1"/>
    <w:rsid w:val="00DF42EA"/>
    <w:rPr>
      <w:color w:val="000000" w:themeColor="text1"/>
    </w:rPr>
  </w:style>
  <w:style w:type="character" w:customStyle="1" w:styleId="Style4">
    <w:name w:val="Style4"/>
    <w:basedOn w:val="DefaultParagraphFont"/>
    <w:uiPriority w:val="1"/>
    <w:rsid w:val="00DF42EA"/>
    <w:rPr>
      <w:color w:val="auto"/>
    </w:rPr>
  </w:style>
  <w:style w:type="character" w:customStyle="1" w:styleId="Style5">
    <w:name w:val="Style5"/>
    <w:basedOn w:val="DefaultParagraphFont"/>
    <w:uiPriority w:val="1"/>
    <w:rsid w:val="00DF42EA"/>
    <w:rPr>
      <w:color w:val="000000" w:themeColor="text1"/>
    </w:rPr>
  </w:style>
  <w:style w:type="character" w:customStyle="1" w:styleId="Style6">
    <w:name w:val="Style6"/>
    <w:basedOn w:val="DefaultParagraphFont"/>
    <w:uiPriority w:val="1"/>
    <w:rsid w:val="00DF42EA"/>
    <w:rPr>
      <w:b/>
    </w:rPr>
  </w:style>
  <w:style w:type="character" w:customStyle="1" w:styleId="Style7">
    <w:name w:val="Style7"/>
    <w:basedOn w:val="DefaultParagraphFont"/>
    <w:uiPriority w:val="1"/>
    <w:rsid w:val="00DF42EA"/>
    <w:rPr>
      <w:b/>
    </w:rPr>
  </w:style>
  <w:style w:type="character" w:customStyle="1" w:styleId="Style8">
    <w:name w:val="Style8"/>
    <w:basedOn w:val="DefaultParagraphFont"/>
    <w:uiPriority w:val="1"/>
    <w:rsid w:val="00DF42EA"/>
    <w:rPr>
      <w:b/>
    </w:rPr>
  </w:style>
  <w:style w:type="character" w:customStyle="1" w:styleId="Style9">
    <w:name w:val="Style9"/>
    <w:basedOn w:val="DefaultParagraphFont"/>
    <w:uiPriority w:val="1"/>
    <w:rsid w:val="00EF41E8"/>
    <w:rPr>
      <w:rFonts w:ascii="Arial" w:hAnsi="Arial"/>
      <w:b/>
      <w:color w:val="000000" w:themeColor="text1"/>
      <w:sz w:val="28"/>
    </w:rPr>
  </w:style>
  <w:style w:type="character" w:customStyle="1" w:styleId="Style10">
    <w:name w:val="Style10"/>
    <w:basedOn w:val="DefaultParagraphFont"/>
    <w:uiPriority w:val="1"/>
    <w:rsid w:val="00EF41E8"/>
    <w:rPr>
      <w:rFonts w:ascii="Arial" w:hAnsi="Arial"/>
      <w:b/>
      <w:sz w:val="28"/>
    </w:rPr>
  </w:style>
  <w:style w:type="character" w:customStyle="1" w:styleId="Style11">
    <w:name w:val="Style11"/>
    <w:basedOn w:val="DefaultParagraphFont"/>
    <w:uiPriority w:val="1"/>
    <w:rsid w:val="00EF41E8"/>
    <w:rPr>
      <w:rFonts w:ascii="Arial" w:hAnsi="Arial"/>
      <w:b/>
      <w:sz w:val="28"/>
    </w:rPr>
  </w:style>
  <w:style w:type="character" w:customStyle="1" w:styleId="Style12">
    <w:name w:val="Style12"/>
    <w:basedOn w:val="DefaultParagraphFont"/>
    <w:uiPriority w:val="1"/>
    <w:rsid w:val="00567E31"/>
    <w:rPr>
      <w:rFonts w:ascii="Arial" w:hAnsi="Arial"/>
      <w:b/>
      <w:sz w:val="28"/>
    </w:rPr>
  </w:style>
  <w:style w:type="character" w:customStyle="1" w:styleId="Style13">
    <w:name w:val="Style13"/>
    <w:basedOn w:val="DefaultParagraphFont"/>
    <w:uiPriority w:val="1"/>
    <w:rsid w:val="00567E31"/>
    <w:rPr>
      <w:rFonts w:ascii="Arial" w:hAnsi="Arial"/>
      <w:b/>
      <w:color w:val="000000" w:themeColor="text1"/>
      <w:sz w:val="28"/>
    </w:rPr>
  </w:style>
  <w:style w:type="character" w:customStyle="1" w:styleId="Style14">
    <w:name w:val="Style14"/>
    <w:basedOn w:val="DefaultParagraphFont"/>
    <w:uiPriority w:val="1"/>
    <w:rsid w:val="00567E31"/>
    <w:rPr>
      <w:rFonts w:ascii="Arial" w:hAnsi="Arial"/>
      <w:b/>
      <w:color w:val="000000" w:themeColor="text1"/>
      <w:sz w:val="28"/>
    </w:rPr>
  </w:style>
  <w:style w:type="character" w:customStyle="1" w:styleId="Style15">
    <w:name w:val="Style15"/>
    <w:basedOn w:val="DefaultParagraphFont"/>
    <w:uiPriority w:val="1"/>
    <w:rsid w:val="002066FC"/>
    <w:rPr>
      <w:rFonts w:ascii="Arial" w:hAnsi="Arial"/>
      <w:b/>
      <w:sz w:val="28"/>
    </w:rPr>
  </w:style>
  <w:style w:type="character" w:customStyle="1" w:styleId="Style16">
    <w:name w:val="Style16"/>
    <w:basedOn w:val="DefaultParagraphFont"/>
    <w:uiPriority w:val="1"/>
    <w:rsid w:val="00087390"/>
    <w:rPr>
      <w:rFonts w:ascii="Arial" w:hAnsi="Arial"/>
      <w:b/>
      <w:color w:val="000000" w:themeColor="text1"/>
      <w:sz w:val="28"/>
    </w:rPr>
  </w:style>
  <w:style w:type="character" w:customStyle="1" w:styleId="Style17">
    <w:name w:val="Style17"/>
    <w:basedOn w:val="DefaultParagraphFont"/>
    <w:uiPriority w:val="1"/>
    <w:rsid w:val="00087390"/>
    <w:rPr>
      <w:rFonts w:ascii="Arial" w:hAnsi="Arial"/>
      <w:b/>
      <w:color w:val="000000" w:themeColor="text1"/>
      <w:sz w:val="28"/>
    </w:rPr>
  </w:style>
  <w:style w:type="character" w:customStyle="1" w:styleId="Style18">
    <w:name w:val="Style18"/>
    <w:basedOn w:val="DefaultParagraphFont"/>
    <w:uiPriority w:val="1"/>
    <w:rsid w:val="00087390"/>
    <w:rPr>
      <w:rFonts w:ascii="Arial" w:hAnsi="Arial"/>
      <w:b/>
      <w:color w:val="000000" w:themeColor="text1"/>
      <w:sz w:val="28"/>
    </w:rPr>
  </w:style>
  <w:style w:type="character" w:customStyle="1" w:styleId="Style19">
    <w:name w:val="Style19"/>
    <w:basedOn w:val="DefaultParagraphFont"/>
    <w:uiPriority w:val="1"/>
    <w:rsid w:val="00BB07A4"/>
    <w:rPr>
      <w:rFonts w:ascii="Arial" w:hAnsi="Arial"/>
      <w:b/>
      <w:color w:val="000000" w:themeColor="text1"/>
      <w:sz w:val="28"/>
    </w:rPr>
  </w:style>
  <w:style w:type="character" w:customStyle="1" w:styleId="Style20">
    <w:name w:val="Style20"/>
    <w:basedOn w:val="DefaultParagraphFont"/>
    <w:uiPriority w:val="1"/>
    <w:rsid w:val="0012411E"/>
    <w:rPr>
      <w:color w:val="000000" w:themeColor="text1"/>
    </w:rPr>
  </w:style>
  <w:style w:type="table" w:styleId="TableGrid">
    <w:name w:val="Table Grid"/>
    <w:basedOn w:val="TableNormal"/>
    <w:uiPriority w:val="39"/>
    <w:rsid w:val="0015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5501">
      <w:bodyDiv w:val="1"/>
      <w:marLeft w:val="0"/>
      <w:marRight w:val="0"/>
      <w:marTop w:val="0"/>
      <w:marBottom w:val="0"/>
      <w:divBdr>
        <w:top w:val="none" w:sz="0" w:space="0" w:color="auto"/>
        <w:left w:val="none" w:sz="0" w:space="0" w:color="auto"/>
        <w:bottom w:val="none" w:sz="0" w:space="0" w:color="auto"/>
        <w:right w:val="none" w:sz="0" w:space="0" w:color="auto"/>
      </w:divBdr>
    </w:div>
    <w:div w:id="1057899076">
      <w:bodyDiv w:val="1"/>
      <w:marLeft w:val="0"/>
      <w:marRight w:val="0"/>
      <w:marTop w:val="0"/>
      <w:marBottom w:val="0"/>
      <w:divBdr>
        <w:top w:val="none" w:sz="0" w:space="0" w:color="auto"/>
        <w:left w:val="none" w:sz="0" w:space="0" w:color="auto"/>
        <w:bottom w:val="none" w:sz="0" w:space="0" w:color="auto"/>
        <w:right w:val="none" w:sz="0" w:space="0" w:color="auto"/>
      </w:divBdr>
    </w:div>
    <w:div w:id="211054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lackr\Desktop\Copy%20of%20Copy%20of%20Sanitary%20Blocks%20Master%20Lis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Inflow &amp; Infiltration (%)</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Sheet1!$A$2:$A$12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Sheet1!$B$2:$B$12</c:f>
              <c:numCache>
                <c:formatCode>0.0%</c:formatCode>
                <c:ptCount val="11"/>
                <c:pt idx="0">
                  <c:v>0.37</c:v>
                </c:pt>
                <c:pt idx="1">
                  <c:v>0.38</c:v>
                </c:pt>
                <c:pt idx="2">
                  <c:v>0.31</c:v>
                </c:pt>
                <c:pt idx="3">
                  <c:v>0.26</c:v>
                </c:pt>
                <c:pt idx="4">
                  <c:v>0.27</c:v>
                </c:pt>
                <c:pt idx="5">
                  <c:v>0.21</c:v>
                </c:pt>
                <c:pt idx="6">
                  <c:v>0.18</c:v>
                </c:pt>
                <c:pt idx="7">
                  <c:v>0.16</c:v>
                </c:pt>
                <c:pt idx="8">
                  <c:v>0.20300000000000001</c:v>
                </c:pt>
                <c:pt idx="9">
                  <c:v>0.16200000000000001</c:v>
                </c:pt>
                <c:pt idx="10">
                  <c:v>0.1484</c:v>
                </c:pt>
              </c:numCache>
            </c:numRef>
          </c:val>
          <c:extLst>
            <c:ext xmlns:c16="http://schemas.microsoft.com/office/drawing/2014/chart" uri="{C3380CC4-5D6E-409C-BE32-E72D297353CC}">
              <c16:uniqueId val="{00000001-5E8E-44EA-BE9D-441F8D78F832}"/>
            </c:ext>
          </c:extLst>
        </c:ser>
        <c:dLbls>
          <c:showLegendKey val="0"/>
          <c:showVal val="0"/>
          <c:showCatName val="0"/>
          <c:showSerName val="0"/>
          <c:showPercent val="0"/>
          <c:showBubbleSize val="0"/>
        </c:dLbls>
        <c:gapWidth val="219"/>
        <c:overlap val="-27"/>
        <c:axId val="567279024"/>
        <c:axId val="567280824"/>
      </c:barChart>
      <c:catAx>
        <c:axId val="56727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80824"/>
        <c:crosses val="autoZero"/>
        <c:auto val="1"/>
        <c:lblAlgn val="ctr"/>
        <c:lblOffset val="100"/>
        <c:noMultiLvlLbl val="0"/>
      </c:catAx>
      <c:valAx>
        <c:axId val="5672808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7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Wastewater Main Blockages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Wastewater Main Blocks</c:v>
                </c:pt>
              </c:strCache>
            </c:strRef>
          </c:tx>
          <c:spPr>
            <a:solidFill>
              <a:schemeClr val="accent1"/>
            </a:solidFill>
            <a:ln>
              <a:noFill/>
            </a:ln>
            <a:effectLst/>
          </c:spPr>
          <c:invertIfNegative val="0"/>
          <c:trendline>
            <c:spPr>
              <a:ln w="19050" cap="rnd">
                <a:solidFill>
                  <a:schemeClr val="accent1"/>
                </a:solidFill>
                <a:prstDash val="sysDot"/>
              </a:ln>
              <a:effectLst/>
            </c:spPr>
            <c:trendlineType val="linear"/>
            <c:dispRSqr val="0"/>
            <c:dispEq val="0"/>
          </c:trendline>
          <c:cat>
            <c:numRef>
              <c:f>Sheet1!$A$2:$A$8</c:f>
              <c:numCache>
                <c:formatCode>General</c:formatCode>
                <c:ptCount val="7"/>
                <c:pt idx="0">
                  <c:v>2019</c:v>
                </c:pt>
                <c:pt idx="1">
                  <c:v>2020</c:v>
                </c:pt>
                <c:pt idx="2">
                  <c:v>2021</c:v>
                </c:pt>
                <c:pt idx="3">
                  <c:v>2022</c:v>
                </c:pt>
                <c:pt idx="4">
                  <c:v>2023</c:v>
                </c:pt>
                <c:pt idx="5">
                  <c:v>2024</c:v>
                </c:pt>
                <c:pt idx="6">
                  <c:v>2025</c:v>
                </c:pt>
              </c:numCache>
            </c:numRef>
          </c:cat>
          <c:val>
            <c:numRef>
              <c:f>Sheet1!$B$2:$B$8</c:f>
              <c:numCache>
                <c:formatCode>General</c:formatCode>
                <c:ptCount val="7"/>
                <c:pt idx="0">
                  <c:v>24</c:v>
                </c:pt>
                <c:pt idx="1">
                  <c:v>18</c:v>
                </c:pt>
                <c:pt idx="2">
                  <c:v>31</c:v>
                </c:pt>
                <c:pt idx="3">
                  <c:v>10</c:v>
                </c:pt>
                <c:pt idx="4">
                  <c:v>19</c:v>
                </c:pt>
                <c:pt idx="5">
                  <c:v>15</c:v>
                </c:pt>
                <c:pt idx="6">
                  <c:v>8</c:v>
                </c:pt>
              </c:numCache>
            </c:numRef>
          </c:val>
          <c:extLst>
            <c:ext xmlns:c16="http://schemas.microsoft.com/office/drawing/2014/chart" uri="{C3380CC4-5D6E-409C-BE32-E72D297353CC}">
              <c16:uniqueId val="{00000001-A59A-40F9-AB6D-2C8DE15880BC}"/>
            </c:ext>
          </c:extLst>
        </c:ser>
        <c:dLbls>
          <c:showLegendKey val="0"/>
          <c:showVal val="0"/>
          <c:showCatName val="0"/>
          <c:showSerName val="0"/>
          <c:showPercent val="0"/>
          <c:showBubbleSize val="0"/>
        </c:dLbls>
        <c:gapWidth val="219"/>
        <c:overlap val="-27"/>
        <c:axId val="422456848"/>
        <c:axId val="422446408"/>
      </c:barChart>
      <c:catAx>
        <c:axId val="42245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46408"/>
        <c:crosses val="autoZero"/>
        <c:auto val="1"/>
        <c:lblAlgn val="ctr"/>
        <c:lblOffset val="100"/>
        <c:noMultiLvlLbl val="0"/>
      </c:catAx>
      <c:valAx>
        <c:axId val="422446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45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2025 Sanitary Service Block Causation</a:t>
            </a:r>
            <a:endParaRPr lang="en-US" sz="1400" b="1" i="0" u="sng" strike="noStrike" kern="1200" spc="0" baseline="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285746061403341"/>
          <c:y val="0.17004483814523186"/>
          <c:w val="0.53780671483861131"/>
          <c:h val="0.7712297681539807"/>
        </c:manualLayout>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720-4AA1-AEE7-8F805A181C4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0720-4AA1-AEE7-8F805A181C4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0720-4AA1-AEE7-8F805A181C4D}"/>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0720-4AA1-AEE7-8F805A181C4D}"/>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0720-4AA1-AEE7-8F805A181C4D}"/>
              </c:ext>
            </c:extLst>
          </c:dPt>
          <c:dPt>
            <c:idx val="5"/>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B-0720-4AA1-AEE7-8F805A181C4D}"/>
              </c:ext>
            </c:extLst>
          </c:dPt>
          <c:dPt>
            <c:idx val="6"/>
            <c:bubble3D val="0"/>
            <c:spPr>
              <a:solidFill>
                <a:schemeClr val="accent6">
                  <a:lumMod val="80000"/>
                  <a:lumOff val="20000"/>
                </a:schemeClr>
              </a:solidFill>
              <a:ln w="19050">
                <a:solidFill>
                  <a:schemeClr val="lt1"/>
                </a:solidFill>
              </a:ln>
              <a:effectLst/>
            </c:spPr>
            <c:extLst>
              <c:ext xmlns:c16="http://schemas.microsoft.com/office/drawing/2014/chart" uri="{C3380CC4-5D6E-409C-BE32-E72D297353CC}">
                <c16:uniqueId val="{0000000D-0720-4AA1-AEE7-8F805A181C4D}"/>
              </c:ext>
            </c:extLst>
          </c:dPt>
          <c:dPt>
            <c:idx val="7"/>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0F-0720-4AA1-AEE7-8F805A181C4D}"/>
              </c:ext>
            </c:extLst>
          </c:dPt>
          <c:dPt>
            <c:idx val="8"/>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1-0720-4AA1-AEE7-8F805A181C4D}"/>
              </c:ext>
            </c:extLst>
          </c:dPt>
          <c:dLbls>
            <c:dLbl>
              <c:idx val="0"/>
              <c:layout>
                <c:manualLayout>
                  <c:x val="4.1937513105472848E-3"/>
                  <c:y val="-3.05763644702644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20-4AA1-AEE7-8F805A181C4D}"/>
                </c:ext>
              </c:extLst>
            </c:dLbl>
            <c:dLbl>
              <c:idx val="1"/>
              <c:layout>
                <c:manualLayout>
                  <c:x val="8.3875026210944153E-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720-4AA1-AEE7-8F805A181C4D}"/>
                </c:ext>
              </c:extLst>
            </c:dLbl>
            <c:dLbl>
              <c:idx val="2"/>
              <c:layout>
                <c:manualLayout>
                  <c:x val="-8.3874943656786077E-2"/>
                  <c:y val="-1.121120412631022E-16"/>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1102956594673931"/>
                      <c:h val="0.10993743883222364"/>
                    </c:manualLayout>
                  </c15:layout>
                </c:ext>
                <c:ext xmlns:c16="http://schemas.microsoft.com/office/drawing/2014/chart" uri="{C3380CC4-5D6E-409C-BE32-E72D297353CC}">
                  <c16:uniqueId val="{00000005-0720-4AA1-AEE7-8F805A181C4D}"/>
                </c:ext>
              </c:extLst>
            </c:dLbl>
            <c:dLbl>
              <c:idx val="3"/>
              <c:layout>
                <c:manualLayout>
                  <c:x val="2.3065632208010025E-2"/>
                  <c:y val="4.89221831524231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720-4AA1-AEE7-8F805A181C4D}"/>
                </c:ext>
              </c:extLst>
            </c:dLbl>
            <c:dLbl>
              <c:idx val="4"/>
              <c:layout>
                <c:manualLayout>
                  <c:x val="2.3065632208010025E-2"/>
                  <c:y val="-1.22305457881058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720-4AA1-AEE7-8F805A181C4D}"/>
                </c:ext>
              </c:extLst>
            </c:dLbl>
            <c:dLbl>
              <c:idx val="5"/>
              <c:layout>
                <c:manualLayout>
                  <c:x val="2.5162507863283706E-2"/>
                  <c:y val="6.115272894052897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720-4AA1-AEE7-8F805A181C4D}"/>
                </c:ext>
              </c:extLst>
            </c:dLbl>
            <c:dLbl>
              <c:idx val="6"/>
              <c:layout>
                <c:manualLayout>
                  <c:x val="-1.6775005242189139E-2"/>
                  <c:y val="-3.05763644702644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720-4AA1-AEE7-8F805A181C4D}"/>
                </c:ext>
              </c:extLst>
            </c:dLbl>
            <c:dLbl>
              <c:idx val="7"/>
              <c:layout>
                <c:manualLayout>
                  <c:x val="-2.0968756552736424E-3"/>
                  <c:y val="-1.528818223513224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720-4AA1-AEE7-8F805A181C4D}"/>
                </c:ext>
              </c:extLst>
            </c:dLbl>
            <c:dLbl>
              <c:idx val="8"/>
              <c:layout>
                <c:manualLayout>
                  <c:x val="3.3737408426798399E-2"/>
                  <c:y val="1.56644882010143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0720-4AA1-AEE7-8F805A181C4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'Other Charts'!$D$136:$D$144</c:f>
              <c:strCache>
                <c:ptCount val="9"/>
                <c:pt idx="0">
                  <c:v>Unknown</c:v>
                </c:pt>
                <c:pt idx="1">
                  <c:v>Roots</c:v>
                </c:pt>
                <c:pt idx="2">
                  <c:v>Detergent/Grease/Sludge</c:v>
                </c:pt>
                <c:pt idx="3">
                  <c:v>No Block</c:v>
                </c:pt>
                <c:pt idx="4">
                  <c:v>No Access</c:v>
                </c:pt>
                <c:pt idx="5">
                  <c:v>Belly/Flat Pipe</c:v>
                </c:pt>
                <c:pt idx="6">
                  <c:v>Other</c:v>
                </c:pt>
                <c:pt idx="7">
                  <c:v>Collapse</c:v>
                </c:pt>
                <c:pt idx="8">
                  <c:v>Foreign Object</c:v>
                </c:pt>
              </c:strCache>
            </c:strRef>
          </c:cat>
          <c:val>
            <c:numRef>
              <c:f>'Other Charts'!$E$136:$E$144</c:f>
              <c:numCache>
                <c:formatCode>0</c:formatCode>
                <c:ptCount val="9"/>
                <c:pt idx="0">
                  <c:v>38</c:v>
                </c:pt>
                <c:pt idx="1">
                  <c:v>51</c:v>
                </c:pt>
                <c:pt idx="2">
                  <c:v>40</c:v>
                </c:pt>
                <c:pt idx="3">
                  <c:v>32</c:v>
                </c:pt>
                <c:pt idx="4">
                  <c:v>12</c:v>
                </c:pt>
                <c:pt idx="5">
                  <c:v>20</c:v>
                </c:pt>
                <c:pt idx="6">
                  <c:v>5</c:v>
                </c:pt>
                <c:pt idx="7">
                  <c:v>7</c:v>
                </c:pt>
                <c:pt idx="8">
                  <c:v>3</c:v>
                </c:pt>
              </c:numCache>
            </c:numRef>
          </c:val>
          <c:extLst>
            <c:ext xmlns:c16="http://schemas.microsoft.com/office/drawing/2014/chart" uri="{C3380CC4-5D6E-409C-BE32-E72D297353CC}">
              <c16:uniqueId val="{00000012-0720-4AA1-AEE7-8F805A181C4D}"/>
            </c:ext>
          </c:extLst>
        </c:ser>
        <c:dLbls>
          <c:showLegendKey val="0"/>
          <c:showVal val="0"/>
          <c:showCatName val="0"/>
          <c:showSerName val="0"/>
          <c:showPercent val="0"/>
          <c:showBubbleSize val="0"/>
          <c:showLeaderLines val="1"/>
        </c:dLbls>
        <c:firstSliceAng val="0"/>
      </c:pieChart>
      <c:spPr>
        <a:noFill/>
        <a:ln>
          <a:noFill/>
        </a:ln>
        <a:effectLst/>
      </c:spPr>
    </c:plotArea>
    <c:legend>
      <c:legendPos val="l"/>
      <c:overlay val="0"/>
      <c:spPr>
        <a:noFill/>
        <a:ln>
          <a:solidFill>
            <a:schemeClr val="tx2"/>
          </a:solid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F2B69BE65041B69E7BCC2BD0DE251F"/>
        <w:category>
          <w:name w:val="General"/>
          <w:gallery w:val="placeholder"/>
        </w:category>
        <w:types>
          <w:type w:val="bbPlcHdr"/>
        </w:types>
        <w:behaviors>
          <w:behavior w:val="content"/>
        </w:behaviors>
        <w:guid w:val="{857A0C91-D380-48C4-8B9A-A60AA4A10C13}"/>
      </w:docPartPr>
      <w:docPartBody>
        <w:p w:rsidR="00FE5B57" w:rsidRDefault="004A33BB" w:rsidP="004A33BB">
          <w:pPr>
            <w:pStyle w:val="DBF2B69BE65041B69E7BCC2BD0DE251F"/>
          </w:pPr>
          <w:r w:rsidRPr="00720254">
            <w:rPr>
              <w:rStyle w:val="PlaceholderText"/>
            </w:rPr>
            <w:t>Choose an item.</w:t>
          </w:r>
        </w:p>
      </w:docPartBody>
    </w:docPart>
    <w:docPart>
      <w:docPartPr>
        <w:name w:val="E5B521C059714A41B3CA1BBC147E4221"/>
        <w:category>
          <w:name w:val="General"/>
          <w:gallery w:val="placeholder"/>
        </w:category>
        <w:types>
          <w:type w:val="bbPlcHdr"/>
        </w:types>
        <w:behaviors>
          <w:behavior w:val="content"/>
        </w:behaviors>
        <w:guid w:val="{5FCAF632-A4BE-4935-A1BA-F0CB2A7F5E44}"/>
      </w:docPartPr>
      <w:docPartBody>
        <w:p w:rsidR="00FE5B57" w:rsidRDefault="004A33BB" w:rsidP="004A33BB">
          <w:pPr>
            <w:pStyle w:val="E5B521C059714A41B3CA1BBC147E4221"/>
          </w:pPr>
          <w:r w:rsidRPr="00720254">
            <w:rPr>
              <w:rStyle w:val="PlaceholderText"/>
            </w:rPr>
            <w:t>Choose an item.</w:t>
          </w:r>
        </w:p>
      </w:docPartBody>
    </w:docPart>
    <w:docPart>
      <w:docPartPr>
        <w:name w:val="22E367E005234C7AB8027EF7110645A7"/>
        <w:category>
          <w:name w:val="General"/>
          <w:gallery w:val="placeholder"/>
        </w:category>
        <w:types>
          <w:type w:val="bbPlcHdr"/>
        </w:types>
        <w:behaviors>
          <w:behavior w:val="content"/>
        </w:behaviors>
        <w:guid w:val="{C30D3D53-B5BB-45C5-A67A-A663958ABFCE}"/>
      </w:docPartPr>
      <w:docPartBody>
        <w:p w:rsidR="006C41AB" w:rsidRDefault="00E73FF5" w:rsidP="00E73FF5">
          <w:pPr>
            <w:pStyle w:val="22E367E005234C7AB8027EF7110645A7"/>
          </w:pPr>
          <w:r w:rsidRPr="00C0566E">
            <w:rPr>
              <w:rStyle w:val="PlaceholderText"/>
            </w:rPr>
            <w:t>Click or tap here to enter text.</w:t>
          </w:r>
        </w:p>
      </w:docPartBody>
    </w:docPart>
    <w:docPart>
      <w:docPartPr>
        <w:name w:val="2E0020D253EF4B82A592F4A01D70A8AE"/>
        <w:category>
          <w:name w:val="General"/>
          <w:gallery w:val="placeholder"/>
        </w:category>
        <w:types>
          <w:type w:val="bbPlcHdr"/>
        </w:types>
        <w:behaviors>
          <w:behavior w:val="content"/>
        </w:behaviors>
        <w:guid w:val="{D0D03E7D-2263-437A-8CA2-89DB68C469EB}"/>
      </w:docPartPr>
      <w:docPartBody>
        <w:p w:rsidR="006C41AB" w:rsidRDefault="00E73FF5" w:rsidP="00E73FF5">
          <w:pPr>
            <w:pStyle w:val="2E0020D253EF4B82A592F4A01D70A8AE"/>
          </w:pPr>
          <w:r w:rsidRPr="00C0566E">
            <w:rPr>
              <w:rStyle w:val="PlaceholderText"/>
            </w:rPr>
            <w:t>Click or tap here to enter text.</w:t>
          </w:r>
        </w:p>
      </w:docPartBody>
    </w:docPart>
    <w:docPart>
      <w:docPartPr>
        <w:name w:val="1C94DCAF642A47FAA0D26D44612920BA"/>
        <w:category>
          <w:name w:val="General"/>
          <w:gallery w:val="placeholder"/>
        </w:category>
        <w:types>
          <w:type w:val="bbPlcHdr"/>
        </w:types>
        <w:behaviors>
          <w:behavior w:val="content"/>
        </w:behaviors>
        <w:guid w:val="{9D09F8E3-5A9E-42DA-BE50-4B446780C891}"/>
      </w:docPartPr>
      <w:docPartBody>
        <w:p w:rsidR="006C41AB" w:rsidRDefault="00E73FF5" w:rsidP="00E73FF5">
          <w:pPr>
            <w:pStyle w:val="1C94DCAF642A47FAA0D26D44612920BA"/>
          </w:pPr>
          <w:r w:rsidRPr="00E11CB5">
            <w:rPr>
              <w:rStyle w:val="PlaceholderText"/>
            </w:rPr>
            <w:t>Click here to enter text.</w:t>
          </w:r>
        </w:p>
      </w:docPartBody>
    </w:docPart>
    <w:docPart>
      <w:docPartPr>
        <w:name w:val="45F38C962A0241CDA7D0DB593CC87A89"/>
        <w:category>
          <w:name w:val="General"/>
          <w:gallery w:val="placeholder"/>
        </w:category>
        <w:types>
          <w:type w:val="bbPlcHdr"/>
        </w:types>
        <w:behaviors>
          <w:behavior w:val="content"/>
        </w:behaviors>
        <w:guid w:val="{98581ED6-F58B-4264-9E51-CFDF17CCDC2C}"/>
      </w:docPartPr>
      <w:docPartBody>
        <w:p w:rsidR="006C41AB" w:rsidRDefault="00E73FF5" w:rsidP="00E73FF5">
          <w:pPr>
            <w:pStyle w:val="45F38C962A0241CDA7D0DB593CC87A89"/>
          </w:pPr>
          <w:r w:rsidRPr="00E11CB5">
            <w:rPr>
              <w:rStyle w:val="PlaceholderText"/>
            </w:rPr>
            <w:t>Click here to enter text.</w:t>
          </w:r>
        </w:p>
      </w:docPartBody>
    </w:docPart>
    <w:docPart>
      <w:docPartPr>
        <w:name w:val="891B8FCAE5A145D6B09E2CB91801C5D3"/>
        <w:category>
          <w:name w:val="General"/>
          <w:gallery w:val="placeholder"/>
        </w:category>
        <w:types>
          <w:type w:val="bbPlcHdr"/>
        </w:types>
        <w:behaviors>
          <w:behavior w:val="content"/>
        </w:behaviors>
        <w:guid w:val="{D1C5F341-884D-4759-86CB-860DC82A4AA8}"/>
      </w:docPartPr>
      <w:docPartBody>
        <w:p w:rsidR="006C41AB" w:rsidRDefault="00E73FF5" w:rsidP="00E73FF5">
          <w:pPr>
            <w:pStyle w:val="891B8FCAE5A145D6B09E2CB91801C5D3"/>
          </w:pPr>
          <w:r w:rsidRPr="00E11CB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525"/>
    <w:rsid w:val="00053A5D"/>
    <w:rsid w:val="000A2A99"/>
    <w:rsid w:val="00177443"/>
    <w:rsid w:val="0019142E"/>
    <w:rsid w:val="002024A5"/>
    <w:rsid w:val="002562CC"/>
    <w:rsid w:val="002C2333"/>
    <w:rsid w:val="002E736D"/>
    <w:rsid w:val="00360732"/>
    <w:rsid w:val="0039038D"/>
    <w:rsid w:val="003D4E62"/>
    <w:rsid w:val="0045556F"/>
    <w:rsid w:val="004A0811"/>
    <w:rsid w:val="004A33BB"/>
    <w:rsid w:val="00594949"/>
    <w:rsid w:val="006016B8"/>
    <w:rsid w:val="00607D1A"/>
    <w:rsid w:val="00612BE0"/>
    <w:rsid w:val="006C41AB"/>
    <w:rsid w:val="006F5525"/>
    <w:rsid w:val="007A16C0"/>
    <w:rsid w:val="007A67C9"/>
    <w:rsid w:val="00885927"/>
    <w:rsid w:val="008B46DE"/>
    <w:rsid w:val="00912799"/>
    <w:rsid w:val="00A50695"/>
    <w:rsid w:val="00B267DB"/>
    <w:rsid w:val="00BC1246"/>
    <w:rsid w:val="00CF32B5"/>
    <w:rsid w:val="00D232CF"/>
    <w:rsid w:val="00E25C71"/>
    <w:rsid w:val="00E2662A"/>
    <w:rsid w:val="00E73FF5"/>
    <w:rsid w:val="00EB3275"/>
    <w:rsid w:val="00F172AC"/>
    <w:rsid w:val="00FE5B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60732"/>
  </w:style>
  <w:style w:type="character" w:styleId="PlaceholderText">
    <w:name w:val="Placeholder Text"/>
    <w:basedOn w:val="DefaultParagraphFont"/>
    <w:uiPriority w:val="99"/>
    <w:semiHidden/>
    <w:rsid w:val="00E73FF5"/>
    <w:rPr>
      <w:color w:val="808080"/>
    </w:rPr>
  </w:style>
  <w:style w:type="paragraph" w:customStyle="1" w:styleId="DBF2B69BE65041B69E7BCC2BD0DE251F">
    <w:name w:val="DBF2B69BE65041B69E7BCC2BD0DE251F"/>
    <w:rsid w:val="004A33BB"/>
    <w:rPr>
      <w:lang w:val="en-US" w:eastAsia="en-US"/>
    </w:rPr>
  </w:style>
  <w:style w:type="paragraph" w:customStyle="1" w:styleId="E5B521C059714A41B3CA1BBC147E4221">
    <w:name w:val="E5B521C059714A41B3CA1BBC147E4221"/>
    <w:rsid w:val="004A33BB"/>
    <w:rPr>
      <w:lang w:val="en-US" w:eastAsia="en-US"/>
    </w:rPr>
  </w:style>
  <w:style w:type="paragraph" w:customStyle="1" w:styleId="22E367E005234C7AB8027EF7110645A7">
    <w:name w:val="22E367E005234C7AB8027EF7110645A7"/>
    <w:rsid w:val="00E73FF5"/>
    <w:pPr>
      <w:spacing w:after="160" w:line="278" w:lineRule="auto"/>
    </w:pPr>
    <w:rPr>
      <w:kern w:val="2"/>
      <w:sz w:val="24"/>
      <w:szCs w:val="24"/>
      <w:lang w:val="en-US" w:eastAsia="en-US"/>
      <w14:ligatures w14:val="standardContextual"/>
    </w:rPr>
  </w:style>
  <w:style w:type="paragraph" w:customStyle="1" w:styleId="2E0020D253EF4B82A592F4A01D70A8AE">
    <w:name w:val="2E0020D253EF4B82A592F4A01D70A8AE"/>
    <w:rsid w:val="00E73FF5"/>
    <w:pPr>
      <w:spacing w:after="160" w:line="278" w:lineRule="auto"/>
    </w:pPr>
    <w:rPr>
      <w:kern w:val="2"/>
      <w:sz w:val="24"/>
      <w:szCs w:val="24"/>
      <w:lang w:val="en-US" w:eastAsia="en-US"/>
      <w14:ligatures w14:val="standardContextual"/>
    </w:rPr>
  </w:style>
  <w:style w:type="paragraph" w:customStyle="1" w:styleId="1C94DCAF642A47FAA0D26D44612920BA">
    <w:name w:val="1C94DCAF642A47FAA0D26D44612920BA"/>
    <w:rsid w:val="00E73FF5"/>
    <w:pPr>
      <w:spacing w:after="160" w:line="278" w:lineRule="auto"/>
    </w:pPr>
    <w:rPr>
      <w:kern w:val="2"/>
      <w:sz w:val="24"/>
      <w:szCs w:val="24"/>
      <w:lang w:val="en-US" w:eastAsia="en-US"/>
      <w14:ligatures w14:val="standardContextual"/>
    </w:rPr>
  </w:style>
  <w:style w:type="paragraph" w:customStyle="1" w:styleId="45F38C962A0241CDA7D0DB593CC87A89">
    <w:name w:val="45F38C962A0241CDA7D0DB593CC87A89"/>
    <w:rsid w:val="00E73FF5"/>
    <w:pPr>
      <w:spacing w:after="160" w:line="278" w:lineRule="auto"/>
    </w:pPr>
    <w:rPr>
      <w:kern w:val="2"/>
      <w:sz w:val="24"/>
      <w:szCs w:val="24"/>
      <w:lang w:val="en-US" w:eastAsia="en-US"/>
      <w14:ligatures w14:val="standardContextual"/>
    </w:rPr>
  </w:style>
  <w:style w:type="paragraph" w:customStyle="1" w:styleId="891B8FCAE5A145D6B09E2CB91801C5D3">
    <w:name w:val="891B8FCAE5A145D6B09E2CB91801C5D3"/>
    <w:rsid w:val="00E73FF5"/>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186208-7cf0-4b82-b2b6-828b11599bf0" xsi:nil="true"/>
    <lcf76f155ced4ddcb4097134ff3c332f xmlns="e144866a-76f3-430f-aa91-368a60b615a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C6467B465F764D98667E0CF0F6D963" ma:contentTypeVersion="14" ma:contentTypeDescription="Create a new document." ma:contentTypeScope="" ma:versionID="c0fb24d584371ed5d8d8f9ed08b1b4b1">
  <xsd:schema xmlns:xsd="http://www.w3.org/2001/XMLSchema" xmlns:xs="http://www.w3.org/2001/XMLSchema" xmlns:p="http://schemas.microsoft.com/office/2006/metadata/properties" xmlns:ns2="e144866a-76f3-430f-aa91-368a60b615a1" xmlns:ns3="71186208-7cf0-4b82-b2b6-828b11599bf0" targetNamespace="http://schemas.microsoft.com/office/2006/metadata/properties" ma:root="true" ma:fieldsID="d2a15c58313407aa55111a8596f83b79" ns2:_="" ns3:_="">
    <xsd:import namespace="e144866a-76f3-430f-aa91-368a60b615a1"/>
    <xsd:import namespace="71186208-7cf0-4b82-b2b6-828b11599b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4866a-76f3-430f-aa91-368a60b6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e77ad45-374a-454f-a407-e7b1109e322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186208-7cf0-4b82-b2b6-828b11599bf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f33d142-77a9-48ec-828c-3a71b1e524b4}" ma:internalName="TaxCatchAll" ma:showField="CatchAllData" ma:web="71186208-7cf0-4b82-b2b6-828b11599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799782-7FAA-402F-B5AF-C7F153B60F07}">
  <ds:schemaRefs>
    <ds:schemaRef ds:uri="http://schemas.microsoft.com/sharepoint/v3/contenttype/forms"/>
  </ds:schemaRefs>
</ds:datastoreItem>
</file>

<file path=customXml/itemProps2.xml><?xml version="1.0" encoding="utf-8"?>
<ds:datastoreItem xmlns:ds="http://schemas.openxmlformats.org/officeDocument/2006/customXml" ds:itemID="{B4DCDB54-A8FD-44BA-BD95-39A4EF9C8E98}">
  <ds:schemaRefs>
    <ds:schemaRef ds:uri="http://schemas.microsoft.com/office/2006/metadata/properties"/>
    <ds:schemaRef ds:uri="http://schemas.microsoft.com/office/infopath/2007/PartnerControls"/>
    <ds:schemaRef ds:uri="71186208-7cf0-4b82-b2b6-828b11599bf0"/>
    <ds:schemaRef ds:uri="e144866a-76f3-430f-aa91-368a60b615a1"/>
  </ds:schemaRefs>
</ds:datastoreItem>
</file>

<file path=customXml/itemProps3.xml><?xml version="1.0" encoding="utf-8"?>
<ds:datastoreItem xmlns:ds="http://schemas.openxmlformats.org/officeDocument/2006/customXml" ds:itemID="{35AA87E8-E360-4D28-912B-24998E012D49}">
  <ds:schemaRefs>
    <ds:schemaRef ds:uri="http://schemas.openxmlformats.org/officeDocument/2006/bibliography"/>
  </ds:schemaRefs>
</ds:datastoreItem>
</file>

<file path=customXml/itemProps4.xml><?xml version="1.0" encoding="utf-8"?>
<ds:datastoreItem xmlns:ds="http://schemas.openxmlformats.org/officeDocument/2006/customXml" ds:itemID="{F1FABE7C-4814-49D1-B760-86E50A88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4866a-76f3-430f-aa91-368a60b615a1"/>
    <ds:schemaRef ds:uri="71186208-7cf0-4b82-b2b6-828b11599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3352</Words>
  <Characters>19107</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Memo Template</vt:lpstr>
    </vt:vector>
  </TitlesOfParts>
  <Company>City of Cambridge</Company>
  <LinksUpToDate>false</LinksUpToDate>
  <CharactersWithSpaces>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Template</dc:title>
  <dc:creator>Denise</dc:creator>
  <cp:lastModifiedBy>Terryn Conway</cp:lastModifiedBy>
  <cp:revision>2</cp:revision>
  <cp:lastPrinted>2026-03-23T16:13:00Z</cp:lastPrinted>
  <dcterms:created xsi:type="dcterms:W3CDTF">2026-05-12T13:40:00Z</dcterms:created>
  <dcterms:modified xsi:type="dcterms:W3CDTF">2026-05-12T13:40:00Z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0x010100C0C6467B465F764D98667E0CF0F6D963</vt:lpwstr>
  </property>
  <property fmtid="{D5CDD505-2E9C-101B-9397-08002B2CF9AE}" pid="3" name="_dlc_DocIdItemGuid">
    <vt:lpwstr>0e583bf5-e6d9-46db-a5b4-3bd80fc3b1a8</vt:lpwstr>
  </property>
  <property fmtid="{D5CDD505-2E9C-101B-9397-08002B2CF9AE}" pid="4" name="Order">
    <vt:r8>2500</vt:r8>
  </property>
  <property fmtid="{D5CDD505-2E9C-101B-9397-08002B2CF9AE}" pid="5" name="MediaServiceImageTags">
    <vt:lpwstr/>
  </property>
</Properties>
</file>