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28F5" w14:textId="03EFF523" w:rsidR="00BC2A2B" w:rsidRPr="00AD7BD7" w:rsidRDefault="00BC2A2B" w:rsidP="00BC2A2B">
      <w:pPr>
        <w:tabs>
          <w:tab w:val="left" w:pos="2160"/>
          <w:tab w:val="left" w:pos="4680"/>
        </w:tabs>
        <w:rPr>
          <w:rStyle w:val="Strong"/>
          <w:rFonts w:asciiTheme="minorHAnsi" w:hAnsiTheme="minorHAnsi" w:cstheme="minorHAnsi"/>
          <w:b/>
          <w:color w:val="000000" w:themeColor="text1"/>
          <w:sz w:val="28"/>
          <w:szCs w:val="28"/>
        </w:rPr>
      </w:pPr>
      <w:r w:rsidRPr="00AD7BD7">
        <w:rPr>
          <w:b/>
          <w:color w:val="3C7090"/>
          <w:sz w:val="28"/>
        </w:rPr>
        <w:t>Date:</w:t>
      </w:r>
      <w:r w:rsidRPr="00AD7BD7">
        <w:rPr>
          <w:rFonts w:eastAsiaTheme="majorEastAsia"/>
          <w:b/>
          <w:sz w:val="28"/>
        </w:rPr>
        <w:tab/>
      </w:r>
      <w:r w:rsidR="00155047">
        <w:rPr>
          <w:rFonts w:eastAsiaTheme="majorEastAsia"/>
          <w:b/>
          <w:sz w:val="28"/>
        </w:rPr>
        <w:t>04/21/2026</w:t>
      </w:r>
      <w:r w:rsidRPr="00AD7BD7">
        <w:rPr>
          <w:rFonts w:asciiTheme="minorHAnsi" w:hAnsiTheme="minorHAnsi" w:cstheme="minorHAnsi"/>
          <w:b/>
          <w:color w:val="000000" w:themeColor="text1"/>
          <w:sz w:val="28"/>
          <w:szCs w:val="28"/>
        </w:rPr>
        <w:tab/>
      </w:r>
      <w:r w:rsidR="009C30E3">
        <w:rPr>
          <w:b/>
          <w:color w:val="3C7090"/>
          <w:sz w:val="28"/>
        </w:rPr>
        <w:t>Internal Memo</w:t>
      </w:r>
      <w:r w:rsidRPr="00AD7BD7">
        <w:rPr>
          <w:b/>
          <w:color w:val="3C7090"/>
          <w:sz w:val="28"/>
        </w:rPr>
        <w:t xml:space="preserve"> #:</w:t>
      </w:r>
      <w:r w:rsidRPr="00D4071B">
        <w:rPr>
          <w:b/>
          <w:sz w:val="28"/>
          <w:szCs w:val="28"/>
        </w:rPr>
        <w:t xml:space="preserve"> </w:t>
      </w:r>
      <w:r w:rsidR="00155047">
        <w:rPr>
          <w:b/>
          <w:sz w:val="28"/>
          <w:szCs w:val="28"/>
        </w:rPr>
        <w:t>IM26-00</w:t>
      </w:r>
      <w:r w:rsidR="002A3D75">
        <w:rPr>
          <w:b/>
          <w:sz w:val="28"/>
          <w:szCs w:val="28"/>
        </w:rPr>
        <w:t>3</w:t>
      </w:r>
      <w:r w:rsidR="00155047">
        <w:rPr>
          <w:b/>
          <w:sz w:val="28"/>
          <w:szCs w:val="28"/>
        </w:rPr>
        <w:t>IFS</w:t>
      </w:r>
    </w:p>
    <w:p w14:paraId="563E2308" w14:textId="485E91BE" w:rsidR="00BC2A2B" w:rsidRPr="00AD7BD7" w:rsidRDefault="00BC2A2B" w:rsidP="00BC2A2B">
      <w:pPr>
        <w:tabs>
          <w:tab w:val="left" w:pos="2160"/>
          <w:tab w:val="right" w:pos="9360"/>
        </w:tabs>
        <w:rPr>
          <w:rStyle w:val="Strong"/>
          <w:b/>
          <w:sz w:val="28"/>
          <w:szCs w:val="28"/>
        </w:rPr>
      </w:pPr>
      <w:r w:rsidRPr="00AD7BD7">
        <w:rPr>
          <w:b/>
          <w:color w:val="3C7090"/>
          <w:sz w:val="28"/>
        </w:rPr>
        <w:t>To:</w:t>
      </w:r>
      <w:r w:rsidRPr="00AD7BD7">
        <w:rPr>
          <w:b/>
          <w:color w:val="3C7090"/>
          <w:sz w:val="28"/>
        </w:rPr>
        <w:tab/>
      </w:r>
      <w:r w:rsidR="00155047">
        <w:rPr>
          <w:b/>
          <w:sz w:val="28"/>
          <w:szCs w:val="28"/>
        </w:rPr>
        <w:t>Council</w:t>
      </w:r>
    </w:p>
    <w:p w14:paraId="28D2D68E" w14:textId="77DF500B" w:rsidR="00BC2A2B" w:rsidRPr="00AD7BD7" w:rsidRDefault="00BC2A2B" w:rsidP="00155047">
      <w:pPr>
        <w:tabs>
          <w:tab w:val="left" w:pos="2160"/>
          <w:tab w:val="left" w:pos="4680"/>
        </w:tabs>
        <w:ind w:left="2160" w:hanging="2160"/>
        <w:rPr>
          <w:b/>
          <w:sz w:val="28"/>
          <w:szCs w:val="28"/>
        </w:rPr>
      </w:pPr>
      <w:r w:rsidRPr="00AD7BD7">
        <w:rPr>
          <w:b/>
          <w:color w:val="3C7090"/>
          <w:sz w:val="28"/>
        </w:rPr>
        <w:t>Circulated to:</w:t>
      </w:r>
      <w:r w:rsidRPr="00D4071B">
        <w:rPr>
          <w:sz w:val="28"/>
        </w:rPr>
        <w:tab/>
      </w:r>
      <w:r w:rsidR="00155047">
        <w:rPr>
          <w:b/>
          <w:sz w:val="28"/>
          <w:szCs w:val="28"/>
        </w:rPr>
        <w:t>Rob Axiak, City Manager; Yogesh Shah, General Manager of Infrastructure Services; Mike Parsons, Director of Environmental Services</w:t>
      </w:r>
    </w:p>
    <w:p w14:paraId="635F1365" w14:textId="730B9FA6" w:rsidR="00BC2A2B" w:rsidRPr="00AD7BD7" w:rsidRDefault="00BC2A2B" w:rsidP="00BC2A2B">
      <w:pPr>
        <w:tabs>
          <w:tab w:val="left" w:pos="2160"/>
          <w:tab w:val="left" w:pos="4680"/>
        </w:tabs>
        <w:rPr>
          <w:rFonts w:asciiTheme="minorHAnsi" w:hAnsiTheme="minorHAnsi" w:cstheme="minorHAnsi"/>
          <w:b/>
          <w:sz w:val="28"/>
          <w:szCs w:val="28"/>
        </w:rPr>
      </w:pPr>
      <w:r w:rsidRPr="00AD7BD7">
        <w:rPr>
          <w:b/>
          <w:color w:val="3C7090"/>
          <w:sz w:val="28"/>
        </w:rPr>
        <w:t>Department:</w:t>
      </w:r>
      <w:r w:rsidRPr="00AD7BD7">
        <w:rPr>
          <w:rFonts w:asciiTheme="minorHAnsi" w:hAnsiTheme="minorHAnsi" w:cstheme="minorHAnsi"/>
          <w:b/>
          <w:sz w:val="28"/>
          <w:szCs w:val="28"/>
        </w:rPr>
        <w:tab/>
      </w:r>
      <w:sdt>
        <w:sdtPr>
          <w:rPr>
            <w:rFonts w:asciiTheme="minorHAnsi" w:hAnsiTheme="minorHAnsi" w:cstheme="minorHAnsi"/>
            <w:b/>
            <w:sz w:val="28"/>
            <w:szCs w:val="28"/>
          </w:rPr>
          <w:alias w:val="Department"/>
          <w:tag w:val="Select Department From Dropdown"/>
          <w:id w:val="-1720580173"/>
          <w:placeholder>
            <w:docPart w:val="DBF2B69BE65041B69E7BCC2BD0DE251F"/>
          </w:placeholder>
          <w:comboBox>
            <w:listItem w:value="Choose an item."/>
            <w:listItem w:displayText="Corporate Leadership Team" w:value="Corporate Leadership Team"/>
            <w:listItem w:displayText="Corporate Services" w:value="Corporate Services"/>
            <w:listItem w:displayText="Infrastructure Services" w:value="Infrastructure Services"/>
            <w:listItem w:displayText="Office of the City Manager" w:value="Office of the City Manager"/>
            <w:listItem w:displayText="Office of the Mayor and Council" w:value="Office of the Mayor and Council"/>
            <w:listItem w:displayText="Senior Management Team" w:value="Senior Management Team"/>
            <w:listItem w:displayText="Community Services" w:value="Community Services"/>
            <w:listItem w:displayText="Planning and Growth" w:value="Planning and Growth"/>
            <w:listItem w:displayText="Customer and Financial Services" w:value="Customer and Financial Services"/>
          </w:comboBox>
        </w:sdtPr>
        <w:sdtEndPr/>
        <w:sdtContent>
          <w:r w:rsidR="00155047">
            <w:rPr>
              <w:rFonts w:asciiTheme="minorHAnsi" w:hAnsiTheme="minorHAnsi" w:cstheme="minorHAnsi"/>
              <w:b/>
              <w:sz w:val="28"/>
              <w:szCs w:val="28"/>
            </w:rPr>
            <w:t>Infrastructure Services</w:t>
          </w:r>
        </w:sdtContent>
      </w:sdt>
    </w:p>
    <w:p w14:paraId="5177E939" w14:textId="1DE82388" w:rsidR="00BC2A2B" w:rsidRPr="00AD7BD7" w:rsidRDefault="00BC2A2B" w:rsidP="00BC2A2B">
      <w:pPr>
        <w:tabs>
          <w:tab w:val="left" w:pos="2160"/>
          <w:tab w:val="left" w:pos="4680"/>
        </w:tabs>
        <w:rPr>
          <w:b/>
          <w:sz w:val="28"/>
          <w:szCs w:val="28"/>
          <w:lang w:val="en-CA"/>
        </w:rPr>
      </w:pPr>
      <w:r w:rsidRPr="00AD7BD7">
        <w:rPr>
          <w:b/>
          <w:color w:val="3C7090"/>
          <w:sz w:val="28"/>
        </w:rPr>
        <w:t>Division:</w:t>
      </w:r>
      <w:r w:rsidRPr="00AD7BD7">
        <w:rPr>
          <w:b/>
          <w:sz w:val="28"/>
          <w:szCs w:val="28"/>
          <w:lang w:val="en-CA"/>
        </w:rPr>
        <w:tab/>
      </w:r>
      <w:sdt>
        <w:sdtPr>
          <w:rPr>
            <w:rFonts w:asciiTheme="minorHAnsi" w:hAnsiTheme="minorHAnsi" w:cstheme="minorHAnsi"/>
            <w:b/>
            <w:sz w:val="28"/>
            <w:szCs w:val="28"/>
          </w:rPr>
          <w:alias w:val="Department"/>
          <w:tag w:val="Select Department From Dropdown"/>
          <w:id w:val="1866399140"/>
          <w:placeholder>
            <w:docPart w:val="E5B521C059714A41B3CA1BBC147E4221"/>
          </w:placeholder>
          <w:comboBox>
            <w:listItem w:value="Choose an item."/>
            <w:listItem w:displayText="Administration" w:value="Administration"/>
            <w:listItem w:displayText="Asset Management &amp; PMO" w:value="Asset Management &amp; PMO"/>
            <w:listItem w:displayText="Building" w:value="Building"/>
            <w:listItem w:displayText="By-law and Enforcement" w:value="By-law and Enforcement"/>
            <w:listItem w:displayText="Clerks" w:value="Clerks"/>
            <w:listItem w:displayText="Corporate Communications" w:value="Corporate Communications"/>
            <w:listItem w:displayText="Corporate Strategy" w:value="Corporate Strategy"/>
            <w:listItem w:displayText="Corporate Transformation &amp; Citizen Services" w:value="Corporate Transformation &amp; Citizen Services"/>
            <w:listItem w:displayText="Economic Development" w:value="Economic Development"/>
            <w:listItem w:displayText="Emergency Management" w:value="Emergency Management"/>
            <w:listItem w:displayText="Engineering &amp; Transportation" w:value="Engineering &amp; Transportation"/>
            <w:listItem w:displayText="Environmental Services" w:value="Environmental Services"/>
            <w:listItem w:displayText="Finance" w:value="Finance"/>
            <w:listItem w:displayText="Fire Services" w:value="Fire Services"/>
            <w:listItem w:displayText="Human Resources" w:value="Human Resources"/>
            <w:listItem w:displayText="Legal Services" w:value="Legal Services"/>
            <w:listItem w:displayText="Operations" w:value="Operations"/>
            <w:listItem w:displayText="Planning" w:value="Planning"/>
            <w:listItem w:displayText="Recreation, Arts and Culture" w:value="Recreation, Arts and Culture"/>
            <w:listItem w:displayText="Risk &amp; Compliance" w:value="Risk &amp; Compliance"/>
            <w:listItem w:displayText="Service Cambridge" w:value="Service Cambridge"/>
            <w:listItem w:displayText="Technology Services" w:value="Technology Services"/>
          </w:comboBox>
        </w:sdtPr>
        <w:sdtEndPr/>
        <w:sdtContent>
          <w:r w:rsidR="00155047">
            <w:rPr>
              <w:rFonts w:asciiTheme="minorHAnsi" w:hAnsiTheme="minorHAnsi" w:cstheme="minorHAnsi"/>
              <w:b/>
              <w:sz w:val="28"/>
              <w:szCs w:val="28"/>
            </w:rPr>
            <w:t>Environmental Services</w:t>
          </w:r>
        </w:sdtContent>
      </w:sdt>
    </w:p>
    <w:p w14:paraId="003B2041" w14:textId="24254913" w:rsidR="00BC2A2B" w:rsidRPr="00D4071B" w:rsidRDefault="00BC2A2B" w:rsidP="00155047">
      <w:pPr>
        <w:tabs>
          <w:tab w:val="left" w:pos="2160"/>
        </w:tabs>
        <w:ind w:left="1440" w:hanging="1440"/>
        <w:rPr>
          <w:rFonts w:asciiTheme="minorHAnsi" w:hAnsiTheme="minorHAnsi" w:cstheme="minorHAnsi"/>
          <w:b/>
          <w:sz w:val="28"/>
          <w:szCs w:val="28"/>
        </w:rPr>
      </w:pPr>
      <w:r>
        <w:rPr>
          <w:b/>
          <w:color w:val="3C7090"/>
          <w:sz w:val="28"/>
        </w:rPr>
        <w:t>From</w:t>
      </w:r>
      <w:r w:rsidRPr="00D4071B">
        <w:rPr>
          <w:b/>
          <w:color w:val="3C7090"/>
          <w:sz w:val="28"/>
        </w:rPr>
        <w:t>:</w:t>
      </w:r>
      <w:r w:rsidRPr="00D4071B">
        <w:rPr>
          <w:bCs/>
          <w:sz w:val="28"/>
        </w:rPr>
        <w:tab/>
      </w:r>
      <w:r w:rsidR="00155047">
        <w:rPr>
          <w:bCs/>
          <w:sz w:val="28"/>
        </w:rPr>
        <w:tab/>
      </w:r>
      <w:r w:rsidR="00155047">
        <w:rPr>
          <w:b/>
          <w:sz w:val="28"/>
          <w:szCs w:val="28"/>
        </w:rPr>
        <w:t xml:space="preserve">Jason Alexander, Manager of Wastewater; David </w:t>
      </w:r>
      <w:r w:rsidR="00155047">
        <w:rPr>
          <w:b/>
          <w:sz w:val="28"/>
          <w:szCs w:val="28"/>
        </w:rPr>
        <w:tab/>
        <w:t>Cattrysse, Utilities Compliance Technologist</w:t>
      </w:r>
    </w:p>
    <w:p w14:paraId="77510A58" w14:textId="0388A235" w:rsidR="00BC2A2B" w:rsidRPr="00AD7BD7" w:rsidRDefault="00BC2A2B" w:rsidP="00BC2A2B">
      <w:pPr>
        <w:tabs>
          <w:tab w:val="left" w:pos="2160"/>
        </w:tabs>
        <w:rPr>
          <w:rFonts w:asciiTheme="minorHAnsi" w:hAnsiTheme="minorHAnsi" w:cstheme="minorHAnsi"/>
          <w:b/>
          <w:color w:val="000000" w:themeColor="text1"/>
          <w:sz w:val="28"/>
          <w:szCs w:val="28"/>
        </w:rPr>
      </w:pPr>
      <w:r>
        <w:rPr>
          <w:b/>
          <w:color w:val="3C7090"/>
          <w:sz w:val="28"/>
        </w:rPr>
        <w:t>Subject</w:t>
      </w:r>
      <w:r w:rsidRPr="00AD7BD7">
        <w:rPr>
          <w:b/>
          <w:color w:val="3C7090"/>
          <w:sz w:val="28"/>
        </w:rPr>
        <w:t>:</w:t>
      </w:r>
      <w:r w:rsidRPr="00AD7BD7">
        <w:rPr>
          <w:rFonts w:asciiTheme="minorHAnsi" w:hAnsiTheme="minorHAnsi" w:cstheme="minorHAnsi"/>
          <w:b/>
          <w:color w:val="000000" w:themeColor="text1"/>
          <w:sz w:val="28"/>
          <w:szCs w:val="28"/>
        </w:rPr>
        <w:tab/>
      </w:r>
      <w:r w:rsidR="00155047">
        <w:rPr>
          <w:rFonts w:asciiTheme="minorHAnsi" w:hAnsiTheme="minorHAnsi" w:cstheme="minorHAnsi"/>
          <w:b/>
          <w:color w:val="000000" w:themeColor="text1"/>
          <w:sz w:val="28"/>
          <w:szCs w:val="28"/>
        </w:rPr>
        <w:t xml:space="preserve">2025 </w:t>
      </w:r>
      <w:r w:rsidR="002A3D75">
        <w:rPr>
          <w:rFonts w:asciiTheme="minorHAnsi" w:hAnsiTheme="minorHAnsi" w:cstheme="minorHAnsi"/>
          <w:b/>
          <w:color w:val="000000" w:themeColor="text1"/>
          <w:sz w:val="28"/>
          <w:szCs w:val="28"/>
        </w:rPr>
        <w:t>Stormwater</w:t>
      </w:r>
      <w:r w:rsidR="00155047">
        <w:rPr>
          <w:rFonts w:asciiTheme="minorHAnsi" w:hAnsiTheme="minorHAnsi" w:cstheme="minorHAnsi"/>
          <w:b/>
          <w:color w:val="000000" w:themeColor="text1"/>
          <w:sz w:val="28"/>
          <w:szCs w:val="28"/>
        </w:rPr>
        <w:t xml:space="preserve"> System Performance Report</w:t>
      </w:r>
    </w:p>
    <w:p w14:paraId="307468F6" w14:textId="17A54492" w:rsidR="003833A9" w:rsidRPr="00BC2A2B" w:rsidRDefault="00623AAE" w:rsidP="00BC2A2B">
      <w:pPr>
        <w:pStyle w:val="Heading1"/>
      </w:pPr>
      <w:r>
        <w:t>Comments</w:t>
      </w:r>
    </w:p>
    <w:p w14:paraId="746F3A51" w14:textId="5E437022" w:rsidR="002A3D75" w:rsidRPr="002A3D75" w:rsidRDefault="002A3D75" w:rsidP="002A3D75">
      <w:pPr>
        <w:rPr>
          <w:b/>
          <w:bCs/>
          <w:szCs w:val="24"/>
        </w:rPr>
      </w:pPr>
      <w:r w:rsidRPr="002A3D75">
        <w:rPr>
          <w:b/>
          <w:bCs/>
          <w:szCs w:val="24"/>
        </w:rPr>
        <w:t>RECOMMENDATION(S):</w:t>
      </w:r>
    </w:p>
    <w:p w14:paraId="7BD07384" w14:textId="347B6AA7" w:rsidR="002A3D75" w:rsidRDefault="002A3D75" w:rsidP="002A3D75">
      <w:pPr>
        <w:rPr>
          <w:b/>
          <w:bCs/>
          <w:szCs w:val="24"/>
        </w:rPr>
      </w:pPr>
      <w:r>
        <w:rPr>
          <w:bCs/>
          <w:szCs w:val="24"/>
        </w:rPr>
        <w:t>THAT IM26-0003IFS</w:t>
      </w:r>
      <w:r w:rsidRPr="00515048">
        <w:rPr>
          <w:bCs/>
          <w:szCs w:val="24"/>
        </w:rPr>
        <w:t xml:space="preserve"> 2025 Stormwater System Performance Report be received for information.</w:t>
      </w:r>
    </w:p>
    <w:p w14:paraId="3DB55269" w14:textId="77777777" w:rsidR="002A3D75" w:rsidRPr="002A3D75" w:rsidRDefault="002A3D75" w:rsidP="002A3D75">
      <w:pPr>
        <w:rPr>
          <w:b/>
          <w:bCs/>
          <w:szCs w:val="24"/>
        </w:rPr>
      </w:pPr>
      <w:r w:rsidRPr="002A3D75">
        <w:rPr>
          <w:b/>
          <w:bCs/>
          <w:szCs w:val="24"/>
        </w:rPr>
        <w:t>EXECUTIVE SUMMARY:</w:t>
      </w:r>
    </w:p>
    <w:p w14:paraId="4CB9FEE8" w14:textId="4E187770" w:rsidR="002A3D75" w:rsidRPr="00007DB9" w:rsidRDefault="002A3D75" w:rsidP="002A3D75">
      <w:pPr>
        <w:rPr>
          <w:rFonts w:eastAsia="Arial"/>
          <w:b/>
          <w:bCs/>
        </w:rPr>
      </w:pPr>
      <w:r w:rsidRPr="00007DB9">
        <w:rPr>
          <w:rFonts w:eastAsia="Arial"/>
          <w:b/>
          <w:bCs/>
        </w:rPr>
        <w:t>Purpose</w:t>
      </w:r>
    </w:p>
    <w:p w14:paraId="51AE8CC5" w14:textId="456C779D" w:rsidR="00007DB9" w:rsidRDefault="002A3D75" w:rsidP="002A3D75">
      <w:pPr>
        <w:rPr>
          <w:bCs/>
        </w:rPr>
      </w:pPr>
      <w:r w:rsidRPr="00515048">
        <w:rPr>
          <w:bCs/>
        </w:rPr>
        <w:t>The Purpose of this report is to provide the Ministry of the Environment, Conservation and Parks (MECP), as well as</w:t>
      </w:r>
      <w:r>
        <w:rPr>
          <w:bCs/>
        </w:rPr>
        <w:t xml:space="preserve"> </w:t>
      </w:r>
      <w:r w:rsidRPr="00515048">
        <w:rPr>
          <w:bCs/>
        </w:rPr>
        <w:t>Council, with an annual performance report for the City of Cambridge’s (City’s) Stormwater Management (SWM) System, covering the period of January 1</w:t>
      </w:r>
      <w:r w:rsidRPr="00515048">
        <w:rPr>
          <w:bCs/>
          <w:vertAlign w:val="superscript"/>
        </w:rPr>
        <w:t>st</w:t>
      </w:r>
      <w:r w:rsidRPr="00515048">
        <w:rPr>
          <w:bCs/>
        </w:rPr>
        <w:t xml:space="preserve"> 2025 to December 31</w:t>
      </w:r>
      <w:r w:rsidRPr="00515048">
        <w:rPr>
          <w:bCs/>
          <w:vertAlign w:val="superscript"/>
        </w:rPr>
        <w:t>st</w:t>
      </w:r>
      <w:r w:rsidRPr="00515048">
        <w:rPr>
          <w:bCs/>
        </w:rPr>
        <w:t xml:space="preserve"> 2025, in compliance with the City’s Consolidated Linear Infrastructure Environmental Compliance Approval (CLI-ECA). The annual performance report contains summaries and interpretations of monitoring data, environmental trends, action items/corrective actions, maintenance/repairs, customer feedback, system alterations, and spills.</w:t>
      </w:r>
      <w:r w:rsidR="00007DB9">
        <w:rPr>
          <w:bCs/>
        </w:rPr>
        <w:br w:type="page"/>
      </w:r>
    </w:p>
    <w:p w14:paraId="23C65749" w14:textId="41458F92" w:rsidR="002A3D75" w:rsidRPr="00007DB9" w:rsidRDefault="002A3D75" w:rsidP="002A3D75">
      <w:pPr>
        <w:rPr>
          <w:b/>
        </w:rPr>
      </w:pPr>
      <w:r w:rsidRPr="00007DB9">
        <w:rPr>
          <w:b/>
          <w:lang w:val="en-CA"/>
        </w:rPr>
        <w:lastRenderedPageBreak/>
        <w:t>Key Findings</w:t>
      </w:r>
    </w:p>
    <w:p w14:paraId="0B0F6104" w14:textId="77777777" w:rsidR="002A3D75" w:rsidRPr="002A3D75" w:rsidRDefault="002A3D75" w:rsidP="002A3D75">
      <w:pPr>
        <w:rPr>
          <w:bCs/>
        </w:rPr>
      </w:pPr>
      <w:r w:rsidRPr="002A3D75">
        <w:rPr>
          <w:bCs/>
          <w:lang w:val="en-CA"/>
        </w:rPr>
        <w:t>System Overview</w:t>
      </w:r>
      <w:r w:rsidRPr="002A3D75">
        <w:rPr>
          <w:bCs/>
        </w:rPr>
        <w:t> </w:t>
      </w:r>
    </w:p>
    <w:p w14:paraId="68099398" w14:textId="77777777" w:rsidR="002A3D75" w:rsidRPr="002A3D75" w:rsidRDefault="002A3D75" w:rsidP="002A3D75">
      <w:pPr>
        <w:numPr>
          <w:ilvl w:val="0"/>
          <w:numId w:val="7"/>
        </w:numPr>
        <w:rPr>
          <w:bCs/>
        </w:rPr>
      </w:pPr>
      <w:r w:rsidRPr="002A3D75">
        <w:rPr>
          <w:bCs/>
          <w:lang w:val="en-CA"/>
        </w:rPr>
        <w:t>First full calendar year for Stormwater Division</w:t>
      </w:r>
      <w:r w:rsidRPr="002A3D75">
        <w:rPr>
          <w:bCs/>
        </w:rPr>
        <w:t> </w:t>
      </w:r>
    </w:p>
    <w:p w14:paraId="3033EAA3" w14:textId="77777777" w:rsidR="002A3D75" w:rsidRPr="002A3D75" w:rsidRDefault="002A3D75" w:rsidP="002A3D75">
      <w:pPr>
        <w:rPr>
          <w:bCs/>
        </w:rPr>
      </w:pPr>
      <w:r w:rsidRPr="002A3D75">
        <w:rPr>
          <w:bCs/>
          <w:lang w:val="en-CA"/>
        </w:rPr>
        <w:t>System Description</w:t>
      </w:r>
      <w:r w:rsidRPr="002A3D75">
        <w:rPr>
          <w:bCs/>
        </w:rPr>
        <w:t> </w:t>
      </w:r>
    </w:p>
    <w:p w14:paraId="52BD4768" w14:textId="77777777" w:rsidR="002A3D75" w:rsidRPr="002A3D75" w:rsidRDefault="002A3D75" w:rsidP="002A3D75">
      <w:pPr>
        <w:numPr>
          <w:ilvl w:val="0"/>
          <w:numId w:val="9"/>
        </w:numPr>
        <w:rPr>
          <w:bCs/>
        </w:rPr>
      </w:pPr>
      <w:r w:rsidRPr="002A3D75">
        <w:rPr>
          <w:bCs/>
          <w:lang w:val="en-CA"/>
        </w:rPr>
        <w:t>The SWM System is worth approximately $1.034 billion</w:t>
      </w:r>
      <w:r w:rsidRPr="002A3D75">
        <w:rPr>
          <w:bCs/>
        </w:rPr>
        <w:t> </w:t>
      </w:r>
    </w:p>
    <w:p w14:paraId="4269329A" w14:textId="77777777" w:rsidR="002A3D75" w:rsidRPr="002A3D75" w:rsidRDefault="002A3D75" w:rsidP="002A3D75">
      <w:pPr>
        <w:numPr>
          <w:ilvl w:val="0"/>
          <w:numId w:val="10"/>
        </w:numPr>
        <w:rPr>
          <w:bCs/>
        </w:rPr>
      </w:pPr>
      <w:r w:rsidRPr="002A3D75">
        <w:rPr>
          <w:bCs/>
          <w:lang w:val="en-CA"/>
        </w:rPr>
        <w:t>37% of the system installed over previous 25 years</w:t>
      </w:r>
      <w:r w:rsidRPr="002A3D75">
        <w:rPr>
          <w:bCs/>
        </w:rPr>
        <w:t> </w:t>
      </w:r>
    </w:p>
    <w:p w14:paraId="58C72545" w14:textId="77777777" w:rsidR="002A3D75" w:rsidRPr="002A3D75" w:rsidRDefault="002A3D75" w:rsidP="002A3D75">
      <w:pPr>
        <w:numPr>
          <w:ilvl w:val="0"/>
          <w:numId w:val="11"/>
        </w:numPr>
        <w:rPr>
          <w:bCs/>
        </w:rPr>
      </w:pPr>
      <w:r w:rsidRPr="002A3D75">
        <w:rPr>
          <w:bCs/>
          <w:lang w:val="en-CA"/>
        </w:rPr>
        <w:t>71% of SWM pipes are concrete, 25% plastic. Over the past 10 years The City has installed 50% concrete pipe and 50% plastic pipe during system growth and rehabilitation.</w:t>
      </w:r>
      <w:r w:rsidRPr="002A3D75">
        <w:rPr>
          <w:bCs/>
        </w:rPr>
        <w:t> </w:t>
      </w:r>
    </w:p>
    <w:p w14:paraId="6AEDB469" w14:textId="77777777" w:rsidR="002A3D75" w:rsidRPr="002A3D75" w:rsidRDefault="002A3D75" w:rsidP="002A3D75">
      <w:pPr>
        <w:rPr>
          <w:bCs/>
        </w:rPr>
      </w:pPr>
      <w:r w:rsidRPr="002A3D75">
        <w:rPr>
          <w:bCs/>
          <w:lang w:val="en-CA"/>
        </w:rPr>
        <w:t>Monitoring Data &amp; Environmental Trends</w:t>
      </w:r>
      <w:r w:rsidRPr="002A3D75">
        <w:rPr>
          <w:bCs/>
        </w:rPr>
        <w:t> </w:t>
      </w:r>
    </w:p>
    <w:p w14:paraId="3C2F1303" w14:textId="77777777" w:rsidR="002A3D75" w:rsidRPr="002A3D75" w:rsidRDefault="002A3D75" w:rsidP="002A3D75">
      <w:pPr>
        <w:numPr>
          <w:ilvl w:val="0"/>
          <w:numId w:val="12"/>
        </w:numPr>
        <w:rPr>
          <w:bCs/>
        </w:rPr>
      </w:pPr>
      <w:r w:rsidRPr="002A3D75">
        <w:rPr>
          <w:bCs/>
          <w:lang w:val="en-CA"/>
        </w:rPr>
        <w:t>Less rainfall in 2025 compared to 2024. The City’s 5, 10, and 20-year rainfall trending are increasing.</w:t>
      </w:r>
      <w:r w:rsidRPr="002A3D75">
        <w:rPr>
          <w:bCs/>
        </w:rPr>
        <w:t> </w:t>
      </w:r>
    </w:p>
    <w:p w14:paraId="74F91F19" w14:textId="77777777" w:rsidR="002A3D75" w:rsidRPr="002A3D75" w:rsidRDefault="002A3D75" w:rsidP="002A3D75">
      <w:pPr>
        <w:numPr>
          <w:ilvl w:val="0"/>
          <w:numId w:val="13"/>
        </w:numPr>
        <w:rPr>
          <w:bCs/>
        </w:rPr>
      </w:pPr>
      <w:r w:rsidRPr="002A3D75">
        <w:rPr>
          <w:bCs/>
          <w:lang w:val="en-CA"/>
        </w:rPr>
        <w:t>Less flow in the Grand River in 2025 compared to 2024. The Grand River’s 5, 10, and 20-year flow trends are decreasing</w:t>
      </w:r>
      <w:r w:rsidRPr="002A3D75">
        <w:rPr>
          <w:bCs/>
        </w:rPr>
        <w:t> </w:t>
      </w:r>
    </w:p>
    <w:p w14:paraId="142AE717" w14:textId="77777777" w:rsidR="002A3D75" w:rsidRPr="002A3D75" w:rsidRDefault="002A3D75" w:rsidP="002A3D75">
      <w:pPr>
        <w:numPr>
          <w:ilvl w:val="0"/>
          <w:numId w:val="14"/>
        </w:numPr>
        <w:rPr>
          <w:bCs/>
        </w:rPr>
      </w:pPr>
      <w:r w:rsidRPr="002A3D75">
        <w:rPr>
          <w:bCs/>
          <w:lang w:val="en-CA"/>
        </w:rPr>
        <w:t>The City’s Inflow and Infiltration percentage was 14.8% down from 15.2% in 2024. City projects and preventative maintenance have helped decreased Inflow and Infiltration over the previous 10-year span</w:t>
      </w:r>
      <w:r w:rsidRPr="002A3D75">
        <w:rPr>
          <w:bCs/>
        </w:rPr>
        <w:t> </w:t>
      </w:r>
    </w:p>
    <w:p w14:paraId="4CF00B23" w14:textId="77777777" w:rsidR="002A3D75" w:rsidRPr="002A3D75" w:rsidRDefault="002A3D75" w:rsidP="002A3D75">
      <w:pPr>
        <w:numPr>
          <w:ilvl w:val="0"/>
          <w:numId w:val="15"/>
        </w:numPr>
        <w:rPr>
          <w:bCs/>
        </w:rPr>
      </w:pPr>
      <w:r w:rsidRPr="002A3D75">
        <w:rPr>
          <w:bCs/>
          <w:lang w:val="en-CA"/>
        </w:rPr>
        <w:t>The City has partnered with the University of Guelph to implement a SWM Monitoring Plan </w:t>
      </w:r>
      <w:r w:rsidRPr="002A3D75">
        <w:rPr>
          <w:bCs/>
        </w:rPr>
        <w:t> </w:t>
      </w:r>
    </w:p>
    <w:p w14:paraId="2FE816E1" w14:textId="77777777" w:rsidR="002A3D75" w:rsidRPr="002A3D75" w:rsidRDefault="002A3D75" w:rsidP="002A3D75">
      <w:pPr>
        <w:rPr>
          <w:bCs/>
        </w:rPr>
      </w:pPr>
      <w:r w:rsidRPr="002A3D75">
        <w:rPr>
          <w:bCs/>
          <w:lang w:val="en-CA"/>
        </w:rPr>
        <w:t>Operational Problems and Corrective Actions</w:t>
      </w:r>
      <w:r w:rsidRPr="002A3D75">
        <w:rPr>
          <w:bCs/>
        </w:rPr>
        <w:t> </w:t>
      </w:r>
    </w:p>
    <w:p w14:paraId="75C2956B" w14:textId="77777777" w:rsidR="002A3D75" w:rsidRPr="002A3D75" w:rsidRDefault="002A3D75" w:rsidP="002A3D75">
      <w:pPr>
        <w:numPr>
          <w:ilvl w:val="0"/>
          <w:numId w:val="16"/>
        </w:numPr>
        <w:rPr>
          <w:bCs/>
        </w:rPr>
      </w:pPr>
      <w:r w:rsidRPr="002A3D75">
        <w:rPr>
          <w:bCs/>
          <w:lang w:val="en-CA"/>
        </w:rPr>
        <w:t>0 SWM main blocks in 2025</w:t>
      </w:r>
      <w:r w:rsidRPr="002A3D75">
        <w:rPr>
          <w:bCs/>
        </w:rPr>
        <w:t> </w:t>
      </w:r>
    </w:p>
    <w:p w14:paraId="44EB285A" w14:textId="77777777" w:rsidR="002A3D75" w:rsidRPr="002A3D75" w:rsidRDefault="002A3D75" w:rsidP="002A3D75">
      <w:pPr>
        <w:numPr>
          <w:ilvl w:val="0"/>
          <w:numId w:val="17"/>
        </w:numPr>
        <w:rPr>
          <w:bCs/>
        </w:rPr>
      </w:pPr>
      <w:r w:rsidRPr="002A3D75">
        <w:rPr>
          <w:bCs/>
          <w:lang w:val="en-CA"/>
        </w:rPr>
        <w:t>39 catch basin cleaning/clearing incidents in 2025</w:t>
      </w:r>
      <w:r w:rsidRPr="002A3D75">
        <w:rPr>
          <w:bCs/>
        </w:rPr>
        <w:t> </w:t>
      </w:r>
    </w:p>
    <w:p w14:paraId="0C77CF8D" w14:textId="77777777" w:rsidR="002A3D75" w:rsidRPr="002A3D75" w:rsidRDefault="002A3D75" w:rsidP="002A3D75">
      <w:pPr>
        <w:numPr>
          <w:ilvl w:val="0"/>
          <w:numId w:val="18"/>
        </w:numPr>
        <w:rPr>
          <w:bCs/>
        </w:rPr>
      </w:pPr>
      <w:r w:rsidRPr="002A3D75">
        <w:rPr>
          <w:bCs/>
          <w:lang w:val="en-CA"/>
        </w:rPr>
        <w:t>4 storm retention pond overflows caused by rain events in 2025</w:t>
      </w:r>
      <w:r w:rsidRPr="002A3D75">
        <w:rPr>
          <w:bCs/>
        </w:rPr>
        <w:t> </w:t>
      </w:r>
    </w:p>
    <w:p w14:paraId="6B62194E" w14:textId="77777777" w:rsidR="002A3D75" w:rsidRPr="002A3D75" w:rsidRDefault="002A3D75" w:rsidP="002A3D75">
      <w:pPr>
        <w:rPr>
          <w:bCs/>
        </w:rPr>
      </w:pPr>
      <w:r w:rsidRPr="002A3D75">
        <w:rPr>
          <w:bCs/>
          <w:lang w:val="en-CA"/>
        </w:rPr>
        <w:t>Preventative Maintenance</w:t>
      </w:r>
      <w:r w:rsidRPr="002A3D75">
        <w:rPr>
          <w:bCs/>
        </w:rPr>
        <w:t> </w:t>
      </w:r>
    </w:p>
    <w:p w14:paraId="2D71B14F" w14:textId="77777777" w:rsidR="002A3D75" w:rsidRPr="002A3D75" w:rsidRDefault="002A3D75" w:rsidP="002A3D75">
      <w:pPr>
        <w:numPr>
          <w:ilvl w:val="0"/>
          <w:numId w:val="19"/>
        </w:numPr>
        <w:rPr>
          <w:bCs/>
        </w:rPr>
      </w:pPr>
      <w:r w:rsidRPr="002A3D75">
        <w:rPr>
          <w:bCs/>
          <w:lang w:val="en-CA"/>
        </w:rPr>
        <w:t>The City has CCTV’d 85% of the SWM System</w:t>
      </w:r>
      <w:r w:rsidRPr="002A3D75">
        <w:rPr>
          <w:bCs/>
        </w:rPr>
        <w:t> </w:t>
      </w:r>
    </w:p>
    <w:p w14:paraId="7DABF3CB" w14:textId="77777777" w:rsidR="002A3D75" w:rsidRPr="002A3D75" w:rsidRDefault="002A3D75" w:rsidP="002A3D75">
      <w:pPr>
        <w:numPr>
          <w:ilvl w:val="0"/>
          <w:numId w:val="20"/>
        </w:numPr>
        <w:rPr>
          <w:bCs/>
        </w:rPr>
      </w:pPr>
      <w:r w:rsidRPr="002A3D75">
        <w:rPr>
          <w:bCs/>
          <w:lang w:val="en-CA"/>
        </w:rPr>
        <w:t>2,623 (24.7%) total catch basins were cleaned in 2025 resulting in 366.76 tonnes of debris removed from the SWM System</w:t>
      </w:r>
      <w:r w:rsidRPr="002A3D75">
        <w:rPr>
          <w:bCs/>
        </w:rPr>
        <w:t> </w:t>
      </w:r>
    </w:p>
    <w:p w14:paraId="48B4B99E" w14:textId="77777777" w:rsidR="002A3D75" w:rsidRPr="002A3D75" w:rsidRDefault="002A3D75" w:rsidP="002A3D75">
      <w:pPr>
        <w:numPr>
          <w:ilvl w:val="0"/>
          <w:numId w:val="21"/>
        </w:numPr>
        <w:rPr>
          <w:bCs/>
        </w:rPr>
      </w:pPr>
      <w:r w:rsidRPr="002A3D75">
        <w:rPr>
          <w:bCs/>
          <w:lang w:val="en-CA"/>
        </w:rPr>
        <w:t>95 storm ponds were inspected in 2025</w:t>
      </w:r>
      <w:r w:rsidRPr="002A3D75">
        <w:rPr>
          <w:bCs/>
        </w:rPr>
        <w:t> </w:t>
      </w:r>
    </w:p>
    <w:p w14:paraId="5841BA70" w14:textId="77777777" w:rsidR="002A3D75" w:rsidRPr="002A3D75" w:rsidRDefault="002A3D75" w:rsidP="002A3D75">
      <w:pPr>
        <w:numPr>
          <w:ilvl w:val="0"/>
          <w:numId w:val="22"/>
        </w:numPr>
        <w:rPr>
          <w:bCs/>
        </w:rPr>
      </w:pPr>
      <w:r w:rsidRPr="002A3D75">
        <w:rPr>
          <w:bCs/>
          <w:lang w:val="en-CA"/>
        </w:rPr>
        <w:lastRenderedPageBreak/>
        <w:t>All City owned dams were inspected in 2025</w:t>
      </w:r>
      <w:r w:rsidRPr="002A3D75">
        <w:rPr>
          <w:bCs/>
        </w:rPr>
        <w:t> </w:t>
      </w:r>
    </w:p>
    <w:p w14:paraId="6C9A44EF" w14:textId="77777777" w:rsidR="002A3D75" w:rsidRPr="002A3D75" w:rsidRDefault="002A3D75" w:rsidP="002A3D75">
      <w:pPr>
        <w:rPr>
          <w:bCs/>
        </w:rPr>
      </w:pPr>
      <w:r w:rsidRPr="002A3D75">
        <w:rPr>
          <w:bCs/>
          <w:lang w:val="en-CA"/>
        </w:rPr>
        <w:t>Customer Feedback</w:t>
      </w:r>
      <w:r w:rsidRPr="002A3D75">
        <w:rPr>
          <w:bCs/>
        </w:rPr>
        <w:t> </w:t>
      </w:r>
    </w:p>
    <w:p w14:paraId="75537464" w14:textId="77777777" w:rsidR="002A3D75" w:rsidRPr="002A3D75" w:rsidRDefault="002A3D75" w:rsidP="002A3D75">
      <w:pPr>
        <w:numPr>
          <w:ilvl w:val="0"/>
          <w:numId w:val="23"/>
        </w:numPr>
        <w:rPr>
          <w:bCs/>
        </w:rPr>
      </w:pPr>
      <w:r w:rsidRPr="002A3D75">
        <w:rPr>
          <w:bCs/>
          <w:lang w:val="en-CA"/>
        </w:rPr>
        <w:t>28 storm pond complaints investigated in 2025</w:t>
      </w:r>
      <w:r w:rsidRPr="002A3D75">
        <w:rPr>
          <w:bCs/>
        </w:rPr>
        <w:t> </w:t>
      </w:r>
    </w:p>
    <w:p w14:paraId="1DA50C01" w14:textId="77777777" w:rsidR="002A3D75" w:rsidRPr="002A3D75" w:rsidRDefault="002A3D75" w:rsidP="002A3D75">
      <w:pPr>
        <w:numPr>
          <w:ilvl w:val="0"/>
          <w:numId w:val="24"/>
        </w:numPr>
        <w:rPr>
          <w:bCs/>
        </w:rPr>
      </w:pPr>
      <w:r w:rsidRPr="002A3D75">
        <w:rPr>
          <w:bCs/>
          <w:lang w:val="en-CA"/>
        </w:rPr>
        <w:t>51 catch basin complaints investigated in 2025</w:t>
      </w:r>
      <w:r w:rsidRPr="002A3D75">
        <w:rPr>
          <w:bCs/>
        </w:rPr>
        <w:t> </w:t>
      </w:r>
    </w:p>
    <w:p w14:paraId="5FCA3696" w14:textId="77777777" w:rsidR="002A3D75" w:rsidRPr="002A3D75" w:rsidRDefault="002A3D75" w:rsidP="002A3D75">
      <w:pPr>
        <w:rPr>
          <w:bCs/>
        </w:rPr>
      </w:pPr>
      <w:r w:rsidRPr="002A3D75">
        <w:rPr>
          <w:bCs/>
          <w:lang w:val="en-CA"/>
        </w:rPr>
        <w:t>System Alterations</w:t>
      </w:r>
      <w:r w:rsidRPr="002A3D75">
        <w:rPr>
          <w:bCs/>
        </w:rPr>
        <w:t> </w:t>
      </w:r>
    </w:p>
    <w:p w14:paraId="6B9D097B" w14:textId="77777777" w:rsidR="002A3D75" w:rsidRPr="002A3D75" w:rsidRDefault="002A3D75" w:rsidP="002A3D75">
      <w:pPr>
        <w:numPr>
          <w:ilvl w:val="0"/>
          <w:numId w:val="25"/>
        </w:numPr>
        <w:rPr>
          <w:bCs/>
        </w:rPr>
      </w:pPr>
      <w:r w:rsidRPr="002A3D75">
        <w:rPr>
          <w:bCs/>
          <w:lang w:val="en-CA"/>
        </w:rPr>
        <w:t>6 CLI-ECA applications</w:t>
      </w:r>
      <w:r w:rsidRPr="002A3D75">
        <w:rPr>
          <w:bCs/>
        </w:rPr>
        <w:t> </w:t>
      </w:r>
    </w:p>
    <w:p w14:paraId="0281B098" w14:textId="77777777" w:rsidR="002A3D75" w:rsidRPr="002A3D75" w:rsidRDefault="002A3D75" w:rsidP="002A3D75">
      <w:pPr>
        <w:numPr>
          <w:ilvl w:val="0"/>
          <w:numId w:val="26"/>
        </w:numPr>
        <w:rPr>
          <w:bCs/>
        </w:rPr>
      </w:pPr>
      <w:r w:rsidRPr="002A3D75">
        <w:rPr>
          <w:bCs/>
          <w:lang w:val="en-CA"/>
        </w:rPr>
        <w:t>0 Safe Drinking Water Threats noted</w:t>
      </w:r>
      <w:r w:rsidRPr="002A3D75">
        <w:rPr>
          <w:bCs/>
        </w:rPr>
        <w:t> </w:t>
      </w:r>
    </w:p>
    <w:p w14:paraId="446062E7" w14:textId="77777777" w:rsidR="002A3D75" w:rsidRPr="002A3D75" w:rsidRDefault="002A3D75" w:rsidP="002A3D75">
      <w:pPr>
        <w:rPr>
          <w:bCs/>
        </w:rPr>
      </w:pPr>
      <w:r w:rsidRPr="002A3D75">
        <w:rPr>
          <w:bCs/>
          <w:lang w:val="en-CA"/>
        </w:rPr>
        <w:t>Spills</w:t>
      </w:r>
      <w:r w:rsidRPr="002A3D75">
        <w:rPr>
          <w:bCs/>
        </w:rPr>
        <w:t> </w:t>
      </w:r>
    </w:p>
    <w:p w14:paraId="40BF0DCA" w14:textId="77777777" w:rsidR="002A3D75" w:rsidRPr="002A3D75" w:rsidRDefault="002A3D75" w:rsidP="002A3D75">
      <w:pPr>
        <w:numPr>
          <w:ilvl w:val="0"/>
          <w:numId w:val="27"/>
        </w:numPr>
        <w:rPr>
          <w:bCs/>
        </w:rPr>
      </w:pPr>
      <w:r w:rsidRPr="002A3D75">
        <w:rPr>
          <w:bCs/>
          <w:lang w:val="en-CA"/>
        </w:rPr>
        <w:t>49 spill investigations in 2025, with an estimated cost of $21,079 in City staffing and equipment. Roughly $8,474 (40%) recouped through offending parties.</w:t>
      </w:r>
      <w:r w:rsidRPr="002A3D75">
        <w:rPr>
          <w:bCs/>
        </w:rPr>
        <w:t> </w:t>
      </w:r>
    </w:p>
    <w:p w14:paraId="7C80CF01" w14:textId="65CB2DA9" w:rsidR="002A3D75" w:rsidRDefault="002A3D75" w:rsidP="002A3D75">
      <w:pPr>
        <w:numPr>
          <w:ilvl w:val="0"/>
          <w:numId w:val="28"/>
        </w:numPr>
        <w:rPr>
          <w:bCs/>
        </w:rPr>
      </w:pPr>
      <w:r w:rsidRPr="002A3D75">
        <w:rPr>
          <w:bCs/>
          <w:lang w:val="en-CA"/>
        </w:rPr>
        <w:t>4 sewage overflows in 2025</w:t>
      </w:r>
    </w:p>
    <w:p w14:paraId="783BE74B" w14:textId="77777777" w:rsidR="002A3D75" w:rsidRPr="002A3D75" w:rsidRDefault="002A3D75" w:rsidP="002A3D75">
      <w:pPr>
        <w:rPr>
          <w:b/>
          <w:bCs/>
          <w:szCs w:val="24"/>
        </w:rPr>
      </w:pPr>
      <w:r w:rsidRPr="002A3D75">
        <w:rPr>
          <w:b/>
          <w:bCs/>
          <w:szCs w:val="24"/>
        </w:rPr>
        <w:t>BACKGROUND:</w:t>
      </w:r>
    </w:p>
    <w:p w14:paraId="2D252BBF" w14:textId="599C52A7" w:rsidR="002A3D75" w:rsidRPr="00515048" w:rsidRDefault="002A3D75" w:rsidP="002A3D75">
      <w:pPr>
        <w:rPr>
          <w:b/>
          <w:bCs/>
        </w:rPr>
      </w:pPr>
      <w:r w:rsidRPr="00515048">
        <w:rPr>
          <w:bCs/>
        </w:rPr>
        <w:t>The City’s CLI-ECA</w:t>
      </w:r>
      <w:r w:rsidR="00F23A82">
        <w:rPr>
          <w:bCs/>
        </w:rPr>
        <w:t xml:space="preserve"> (</w:t>
      </w:r>
      <w:r w:rsidRPr="00515048">
        <w:rPr>
          <w:bCs/>
        </w:rPr>
        <w:t>015-S701</w:t>
      </w:r>
      <w:r w:rsidR="00F23A82">
        <w:rPr>
          <w:bCs/>
        </w:rPr>
        <w:t>)</w:t>
      </w:r>
      <w:r w:rsidRPr="00515048">
        <w:rPr>
          <w:bCs/>
        </w:rPr>
        <w:t xml:space="preserve"> was placed into effect on August 31, 2022. Starting with the 2023 calendar year, the City shall prepare an Annual Performance Report for the MECP by April 30 of each calendar year, which includes a summary of required monitoring data, environmental trends, operational problems/corrective actions, maintenance/repairs, customer feedback, system alterations, and spills. This report is to be made available to the public by no later than June 1 of the calendar year.</w:t>
      </w:r>
    </w:p>
    <w:p w14:paraId="17C8493B" w14:textId="0A438513" w:rsidR="00007DB9" w:rsidRDefault="002A3D75" w:rsidP="00F23A82">
      <w:pPr>
        <w:rPr>
          <w:bCs/>
        </w:rPr>
      </w:pPr>
      <w:r w:rsidRPr="00515048">
        <w:rPr>
          <w:bCs/>
        </w:rPr>
        <w:t>The City’s 2025 Stormwater System Performance Report complies with the City’s CLI-ECA requirements.</w:t>
      </w:r>
      <w:r w:rsidR="00007DB9">
        <w:rPr>
          <w:bCs/>
        </w:rPr>
        <w:br w:type="page"/>
      </w:r>
    </w:p>
    <w:p w14:paraId="79AE10A8" w14:textId="0445FE9A" w:rsidR="002A3D75" w:rsidRPr="00F23A82" w:rsidRDefault="002A3D75" w:rsidP="002A3D75">
      <w:pPr>
        <w:rPr>
          <w:b/>
          <w:bCs/>
          <w:szCs w:val="24"/>
        </w:rPr>
      </w:pPr>
      <w:r w:rsidRPr="00F23A82">
        <w:rPr>
          <w:b/>
          <w:bCs/>
          <w:szCs w:val="24"/>
        </w:rPr>
        <w:lastRenderedPageBreak/>
        <w:t>ANALYSIS:</w:t>
      </w:r>
    </w:p>
    <w:p w14:paraId="25C1EE06" w14:textId="7D090395" w:rsidR="002A3D75" w:rsidRPr="00F23A82" w:rsidRDefault="002A3D75" w:rsidP="002A3D75">
      <w:pPr>
        <w:rPr>
          <w:b/>
          <w:bCs/>
        </w:rPr>
      </w:pPr>
      <w:r w:rsidRPr="00F23A82">
        <w:rPr>
          <w:b/>
          <w:bCs/>
        </w:rPr>
        <w:t>System Overview</w:t>
      </w:r>
    </w:p>
    <w:p w14:paraId="1BD532B9" w14:textId="77777777" w:rsidR="002A3D75" w:rsidRPr="00515048" w:rsidRDefault="002A3D75" w:rsidP="002A3D75">
      <w:pPr>
        <w:rPr>
          <w:b/>
          <w:bCs/>
        </w:rPr>
      </w:pPr>
      <w:r w:rsidRPr="00515048">
        <w:rPr>
          <w:bCs/>
        </w:rPr>
        <w:t>The City of Cambridge SWM System provides drainage services for stormwater runoff within the City’s settlement areas and contributes to the Quaternary Ellis Creek – Speed River and Mill Creek – Grand River Watersheds. The City serves as the Operating Authority (OA) for the system, which is comprised of assets owned and maintained by the City, the Regional Municipality of Waterloo (ROW), and private property owners.</w:t>
      </w:r>
    </w:p>
    <w:p w14:paraId="5D07B52D" w14:textId="3C953D30" w:rsidR="002A3D75" w:rsidRPr="00515048" w:rsidRDefault="002A3D75" w:rsidP="002A3D75">
      <w:pPr>
        <w:rPr>
          <w:b/>
          <w:bCs/>
        </w:rPr>
      </w:pPr>
      <w:r w:rsidRPr="00515048">
        <w:rPr>
          <w:bCs/>
        </w:rPr>
        <w:t xml:space="preserve">The Stormwater Division of Environmental Services was implemented in late 2024, with its first full year as a division occurring in 2025. </w:t>
      </w:r>
      <w:r w:rsidR="00B74CB1">
        <w:rPr>
          <w:bCs/>
        </w:rPr>
        <w:t>The City requires 21.61 Full-Time Equivalents to maintain</w:t>
      </w:r>
      <w:r w:rsidRPr="00515048">
        <w:rPr>
          <w:bCs/>
        </w:rPr>
        <w:t xml:space="preserve"> and </w:t>
      </w:r>
      <w:r w:rsidR="00B74CB1">
        <w:rPr>
          <w:bCs/>
        </w:rPr>
        <w:t>operate the SWM.</w:t>
      </w:r>
      <w:r w:rsidRPr="00515048">
        <w:rPr>
          <w:bCs/>
        </w:rPr>
        <w:t xml:space="preserve"> Stormwater duties were previously performed solely by the Wastewater Division</w:t>
      </w:r>
    </w:p>
    <w:p w14:paraId="0BBE749D" w14:textId="77777777" w:rsidR="002A3D75" w:rsidRPr="00515048" w:rsidRDefault="002A3D75" w:rsidP="002A3D75">
      <w:pPr>
        <w:rPr>
          <w:b/>
          <w:bCs/>
        </w:rPr>
      </w:pPr>
      <w:r w:rsidRPr="00515048">
        <w:rPr>
          <w:bCs/>
        </w:rPr>
        <w:t>The implementation of the City’s SWM System involves the participation and coordination of numerous public agencies, each of whom have specific mandates, including, but not limited to the MECP, The Ministry of Natural Resources (MNF), The Grand River Conservation Authority (GRCA), and the ROW.</w:t>
      </w:r>
    </w:p>
    <w:p w14:paraId="248C68C7" w14:textId="5DDB6051" w:rsidR="002A3D75" w:rsidRPr="00F23A82" w:rsidRDefault="002A3D75" w:rsidP="002A3D75">
      <w:pPr>
        <w:rPr>
          <w:b/>
          <w:bCs/>
        </w:rPr>
      </w:pPr>
      <w:r w:rsidRPr="00F23A82">
        <w:rPr>
          <w:b/>
          <w:bCs/>
        </w:rPr>
        <w:t>System Description</w:t>
      </w:r>
    </w:p>
    <w:p w14:paraId="399C678B" w14:textId="77777777" w:rsidR="002A3D75" w:rsidRPr="00515048" w:rsidRDefault="002A3D75" w:rsidP="002A3D75">
      <w:pPr>
        <w:rPr>
          <w:b/>
          <w:bCs/>
        </w:rPr>
      </w:pPr>
      <w:r w:rsidRPr="00515048">
        <w:rPr>
          <w:bCs/>
        </w:rPr>
        <w:t>The City’s SWM System contains approximately 675.6 km of storm sewer leads and mains, connecting 12,676 catch basins, 21 km of culverts, 52 Oil and Grit Separators (OGS), and 135 SWM System ponds, wetlands, and infiltration galleries worth approximately $1.034 billion.</w:t>
      </w:r>
    </w:p>
    <w:p w14:paraId="403D23C0" w14:textId="77777777" w:rsidR="002A3D75" w:rsidRDefault="002A3D75" w:rsidP="002A3D75">
      <w:pPr>
        <w:rPr>
          <w:b/>
          <w:bCs/>
        </w:rPr>
      </w:pPr>
      <w:r w:rsidRPr="00515048">
        <w:rPr>
          <w:bCs/>
        </w:rPr>
        <w:t xml:space="preserve">The following charts identify the overall age and material types currently found in the SWM System. </w:t>
      </w:r>
      <w:r w:rsidRPr="00F23A82">
        <w:rPr>
          <w:b/>
          <w:bCs/>
        </w:rPr>
        <w:t>Figure 1</w:t>
      </w:r>
      <w:r w:rsidRPr="00515048">
        <w:rPr>
          <w:bCs/>
        </w:rPr>
        <w:t xml:space="preserve"> indicates the majority of stormwater pipe in the system was installed after 1970, with over a third (37%) of the system installed within the last 25 years. </w:t>
      </w:r>
      <w:r w:rsidRPr="00F23A82">
        <w:rPr>
          <w:b/>
          <w:bCs/>
        </w:rPr>
        <w:t>Figure 2</w:t>
      </w:r>
      <w:r w:rsidRPr="00515048">
        <w:rPr>
          <w:bCs/>
        </w:rPr>
        <w:t xml:space="preserve"> indicates that concrete pipe (71%) is the predominant pipe material in the SWM System, while plastic pipe (25%) accounts for the majority of the remaining material. Over the past decade the City has shifted towards more plastic pipes during SWM system expansion. As a result, system growth and rehabilitation over that timeframe consist of roughly 50% concrete pipe and 50% plastic pipe. </w:t>
      </w:r>
      <w:r w:rsidRPr="00F23A82">
        <w:rPr>
          <w:b/>
          <w:bCs/>
        </w:rPr>
        <w:t>Figure 3</w:t>
      </w:r>
      <w:r w:rsidRPr="00515048">
        <w:rPr>
          <w:bCs/>
        </w:rPr>
        <w:t xml:space="preserve"> indicates that the majority of SWM System pipes have diameters between 300–600 mm (41%). The SWM System primarily consists of standard 300 mm, 375 mm, and 450 mm diameter pipes.</w:t>
      </w:r>
    </w:p>
    <w:p w14:paraId="049157F1" w14:textId="77777777" w:rsidR="002A3D75" w:rsidRDefault="002A3D75" w:rsidP="002A3D75">
      <w:pPr>
        <w:jc w:val="center"/>
      </w:pPr>
      <w:r w:rsidRPr="00F23A82">
        <w:rPr>
          <w:b/>
          <w:bCs/>
        </w:rPr>
        <w:lastRenderedPageBreak/>
        <w:t>Figure 1 – Storm System Age</w:t>
      </w:r>
      <w:r>
        <w:rPr>
          <w:bCs/>
          <w:noProof/>
        </w:rPr>
        <w:drawing>
          <wp:inline distT="0" distB="0" distL="0" distR="0" wp14:anchorId="72AD4A3C" wp14:editId="47B0987A">
            <wp:extent cx="5756462" cy="2307184"/>
            <wp:effectExtent l="19050" t="19050" r="15875" b="17145"/>
            <wp:docPr id="104019721" name="Picture 1" descr="bar graph summarizing storm system 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9721" name="Picture 1" descr="bar graph summarizing storm system age "/>
                    <pic:cNvPicPr/>
                  </pic:nvPicPr>
                  <pic:blipFill>
                    <a:blip r:embed="rId11">
                      <a:extLst>
                        <a:ext uri="{28A0092B-C50C-407E-A947-70E740481C1C}">
                          <a14:useLocalDpi xmlns:a14="http://schemas.microsoft.com/office/drawing/2010/main" val="0"/>
                        </a:ext>
                      </a:extLst>
                    </a:blip>
                    <a:stretch>
                      <a:fillRect/>
                    </a:stretch>
                  </pic:blipFill>
                  <pic:spPr>
                    <a:xfrm>
                      <a:off x="0" y="0"/>
                      <a:ext cx="5756462" cy="2307184"/>
                    </a:xfrm>
                    <a:prstGeom prst="rect">
                      <a:avLst/>
                    </a:prstGeom>
                    <a:ln>
                      <a:solidFill>
                        <a:schemeClr val="tx1"/>
                      </a:solidFill>
                    </a:ln>
                  </pic:spPr>
                </pic:pic>
              </a:graphicData>
            </a:graphic>
          </wp:inline>
        </w:drawing>
      </w:r>
    </w:p>
    <w:p w14:paraId="56E76E33" w14:textId="77777777" w:rsidR="002A3D75" w:rsidRDefault="002A3D75" w:rsidP="002A3D75">
      <w:pPr>
        <w:jc w:val="center"/>
      </w:pPr>
    </w:p>
    <w:p w14:paraId="077B7678" w14:textId="77777777" w:rsidR="002A3D75" w:rsidRDefault="002A3D75" w:rsidP="002A3D75">
      <w:pPr>
        <w:jc w:val="center"/>
        <w:rPr>
          <w:rFonts w:cs="Arial"/>
          <w:szCs w:val="24"/>
          <w:u w:val="single"/>
        </w:rPr>
      </w:pPr>
      <w:r w:rsidRPr="00F23A82">
        <w:rPr>
          <w:rFonts w:cs="Arial"/>
          <w:b/>
          <w:bCs/>
          <w:szCs w:val="24"/>
        </w:rPr>
        <w:t>Figure 2 – Storm Pipe Material</w:t>
      </w:r>
      <w:r>
        <w:rPr>
          <w:noProof/>
        </w:rPr>
        <w:drawing>
          <wp:inline distT="0" distB="0" distL="0" distR="0" wp14:anchorId="6141E1DB" wp14:editId="02FEA52B">
            <wp:extent cx="5339433" cy="2879425"/>
            <wp:effectExtent l="19050" t="19050" r="13970" b="16510"/>
            <wp:docPr id="727790753" name="Picture 2" descr="pie graph summarizing storm pipe materials used in the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90753" name="Picture 2" descr="pie graph summarizing storm pipe materials used in the city"/>
                    <pic:cNvPicPr/>
                  </pic:nvPicPr>
                  <pic:blipFill>
                    <a:blip r:embed="rId12">
                      <a:extLst>
                        <a:ext uri="{28A0092B-C50C-407E-A947-70E740481C1C}">
                          <a14:useLocalDpi xmlns:a14="http://schemas.microsoft.com/office/drawing/2010/main" val="0"/>
                        </a:ext>
                      </a:extLst>
                    </a:blip>
                    <a:stretch>
                      <a:fillRect/>
                    </a:stretch>
                  </pic:blipFill>
                  <pic:spPr>
                    <a:xfrm>
                      <a:off x="0" y="0"/>
                      <a:ext cx="5339433" cy="2879425"/>
                    </a:xfrm>
                    <a:prstGeom prst="rect">
                      <a:avLst/>
                    </a:prstGeom>
                    <a:ln>
                      <a:solidFill>
                        <a:schemeClr val="tx1"/>
                      </a:solidFill>
                    </a:ln>
                  </pic:spPr>
                </pic:pic>
              </a:graphicData>
            </a:graphic>
          </wp:inline>
        </w:drawing>
      </w:r>
    </w:p>
    <w:p w14:paraId="267C8833" w14:textId="77777777" w:rsidR="002A3D75" w:rsidRPr="00F23A82" w:rsidRDefault="002A3D75" w:rsidP="002A3D75">
      <w:pPr>
        <w:keepNext/>
        <w:jc w:val="center"/>
        <w:rPr>
          <w:rFonts w:cs="Arial"/>
          <w:b/>
          <w:bCs/>
          <w:szCs w:val="24"/>
        </w:rPr>
      </w:pPr>
      <w:r w:rsidRPr="00F23A82">
        <w:rPr>
          <w:rFonts w:cs="Arial"/>
          <w:b/>
          <w:bCs/>
          <w:szCs w:val="24"/>
        </w:rPr>
        <w:lastRenderedPageBreak/>
        <w:t>Figure 3 – Storm Pipe Summary By Size</w:t>
      </w:r>
    </w:p>
    <w:p w14:paraId="1281E59F" w14:textId="77777777" w:rsidR="002A3D75" w:rsidRDefault="002A3D75" w:rsidP="002A3D75">
      <w:pPr>
        <w:keepNext/>
        <w:jc w:val="center"/>
      </w:pPr>
      <w:r>
        <w:rPr>
          <w:noProof/>
        </w:rPr>
        <w:drawing>
          <wp:inline distT="0" distB="0" distL="0" distR="0" wp14:anchorId="21AF59EF" wp14:editId="30BF91A9">
            <wp:extent cx="4975936" cy="5838286"/>
            <wp:effectExtent l="19050" t="19050" r="15240" b="10160"/>
            <wp:docPr id="1477992317" name="Picture 3" descr="pie graph summarizing different size of stormwater p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92317" name="Picture 3" descr="pie graph summarizing different size of stormwater pipes"/>
                    <pic:cNvPicPr/>
                  </pic:nvPicPr>
                  <pic:blipFill>
                    <a:blip r:embed="rId13">
                      <a:extLst>
                        <a:ext uri="{28A0092B-C50C-407E-A947-70E740481C1C}">
                          <a14:useLocalDpi xmlns:a14="http://schemas.microsoft.com/office/drawing/2010/main" val="0"/>
                        </a:ext>
                      </a:extLst>
                    </a:blip>
                    <a:stretch>
                      <a:fillRect/>
                    </a:stretch>
                  </pic:blipFill>
                  <pic:spPr>
                    <a:xfrm>
                      <a:off x="0" y="0"/>
                      <a:ext cx="4975936" cy="5838286"/>
                    </a:xfrm>
                    <a:prstGeom prst="rect">
                      <a:avLst/>
                    </a:prstGeom>
                    <a:ln>
                      <a:solidFill>
                        <a:schemeClr val="tx1"/>
                      </a:solidFill>
                    </a:ln>
                  </pic:spPr>
                </pic:pic>
              </a:graphicData>
            </a:graphic>
          </wp:inline>
        </w:drawing>
      </w:r>
    </w:p>
    <w:p w14:paraId="4DB565E1" w14:textId="440AE090" w:rsidR="002A3D75" w:rsidRPr="00F23A82" w:rsidRDefault="002A3D75" w:rsidP="002A3D75">
      <w:pPr>
        <w:rPr>
          <w:b/>
          <w:bCs/>
        </w:rPr>
      </w:pPr>
      <w:r w:rsidRPr="00F23A82">
        <w:rPr>
          <w:b/>
          <w:bCs/>
        </w:rPr>
        <w:t>Monitoring Data &amp; Environmental Trends</w:t>
      </w:r>
    </w:p>
    <w:p w14:paraId="431253E3" w14:textId="258DAE75" w:rsidR="00007DB9" w:rsidRDefault="002A3D75" w:rsidP="002A3D75">
      <w:pPr>
        <w:rPr>
          <w:bCs/>
        </w:rPr>
      </w:pPr>
      <w:r w:rsidRPr="006548D8">
        <w:rPr>
          <w:bCs/>
        </w:rPr>
        <w:t xml:space="preserve">The climate in Cambridge is a humid continental climate, typical of southwestern Ontario, with mostly moderate winters but the occasional deep freeze. </w:t>
      </w:r>
      <w:r w:rsidRPr="00F23A82">
        <w:rPr>
          <w:b/>
          <w:bCs/>
        </w:rPr>
        <w:t>Figure 4</w:t>
      </w:r>
      <w:r w:rsidRPr="006548D8">
        <w:rPr>
          <w:bCs/>
        </w:rPr>
        <w:t xml:space="preserve"> indicates the annual and seasonal temperatures from 2022-2025</w:t>
      </w:r>
      <w:r>
        <w:rPr>
          <w:bCs/>
        </w:rPr>
        <w:t>.</w:t>
      </w:r>
      <w:r w:rsidR="00007DB9">
        <w:rPr>
          <w:bCs/>
        </w:rPr>
        <w:br w:type="page"/>
      </w:r>
    </w:p>
    <w:p w14:paraId="0FBA1C1F" w14:textId="77777777" w:rsidR="002A3D75" w:rsidRPr="00F23A82" w:rsidRDefault="002A3D75" w:rsidP="002A3D75">
      <w:pPr>
        <w:jc w:val="center"/>
        <w:rPr>
          <w:rFonts w:cs="Arial"/>
          <w:b/>
          <w:bCs/>
          <w:color w:val="000000"/>
          <w:szCs w:val="24"/>
        </w:rPr>
      </w:pPr>
      <w:r w:rsidRPr="00F23A82">
        <w:rPr>
          <w:rFonts w:cs="Arial"/>
          <w:b/>
          <w:bCs/>
          <w:color w:val="000000"/>
          <w:szCs w:val="24"/>
        </w:rPr>
        <w:lastRenderedPageBreak/>
        <w:t>Figure 4 – City of Cambridge Annual &amp; Seasonal Temperatures (2022-2025)</w:t>
      </w:r>
    </w:p>
    <w:tbl>
      <w:tblPr>
        <w:tblStyle w:val="TableGrid"/>
        <w:tblW w:w="0" w:type="auto"/>
        <w:jc w:val="center"/>
        <w:tblLook w:val="04A0" w:firstRow="1" w:lastRow="0" w:firstColumn="1" w:lastColumn="0" w:noHBand="0" w:noVBand="1"/>
        <w:tblCaption w:val="City of Cambridge Annual &amp; Seasonal Temperatures (2022-2025)"/>
        <w:tblDescription w:val="Table breaking down temperatures by season for years 2022-2025"/>
      </w:tblPr>
      <w:tblGrid>
        <w:gridCol w:w="1695"/>
        <w:gridCol w:w="1417"/>
        <w:gridCol w:w="1554"/>
        <w:gridCol w:w="1554"/>
        <w:gridCol w:w="1555"/>
        <w:gridCol w:w="1555"/>
      </w:tblGrid>
      <w:tr w:rsidR="002A3D75" w14:paraId="1E4D83F0" w14:textId="77777777" w:rsidTr="00F23A82">
        <w:trPr>
          <w:jc w:val="center"/>
        </w:trPr>
        <w:tc>
          <w:tcPr>
            <w:tcW w:w="1695" w:type="dxa"/>
            <w:tcBorders>
              <w:top w:val="single" w:sz="12" w:space="0" w:color="auto"/>
              <w:left w:val="single" w:sz="12" w:space="0" w:color="auto"/>
              <w:bottom w:val="single" w:sz="12" w:space="0" w:color="auto"/>
              <w:right w:val="single" w:sz="12" w:space="0" w:color="auto"/>
            </w:tcBorders>
            <w:vAlign w:val="center"/>
          </w:tcPr>
          <w:p w14:paraId="71D583C3"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Season</w:t>
            </w:r>
          </w:p>
        </w:tc>
        <w:tc>
          <w:tcPr>
            <w:tcW w:w="1417" w:type="dxa"/>
            <w:tcBorders>
              <w:top w:val="single" w:sz="12" w:space="0" w:color="auto"/>
              <w:left w:val="single" w:sz="12" w:space="0" w:color="auto"/>
              <w:bottom w:val="single" w:sz="12" w:space="0" w:color="auto"/>
              <w:right w:val="single" w:sz="12" w:space="0" w:color="auto"/>
            </w:tcBorders>
            <w:vAlign w:val="center"/>
          </w:tcPr>
          <w:p w14:paraId="272CBA04"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Temp (Cº)</w:t>
            </w:r>
          </w:p>
        </w:tc>
        <w:tc>
          <w:tcPr>
            <w:tcW w:w="1554" w:type="dxa"/>
            <w:tcBorders>
              <w:top w:val="single" w:sz="12" w:space="0" w:color="auto"/>
              <w:left w:val="single" w:sz="12" w:space="0" w:color="auto"/>
              <w:bottom w:val="single" w:sz="12" w:space="0" w:color="auto"/>
            </w:tcBorders>
            <w:vAlign w:val="center"/>
          </w:tcPr>
          <w:p w14:paraId="79E8EDC3"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2022</w:t>
            </w:r>
          </w:p>
        </w:tc>
        <w:tc>
          <w:tcPr>
            <w:tcW w:w="1554" w:type="dxa"/>
            <w:tcBorders>
              <w:top w:val="single" w:sz="12" w:space="0" w:color="auto"/>
              <w:bottom w:val="single" w:sz="12" w:space="0" w:color="auto"/>
            </w:tcBorders>
            <w:vAlign w:val="center"/>
          </w:tcPr>
          <w:p w14:paraId="77F64886"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2023</w:t>
            </w:r>
          </w:p>
        </w:tc>
        <w:tc>
          <w:tcPr>
            <w:tcW w:w="1555" w:type="dxa"/>
            <w:tcBorders>
              <w:top w:val="single" w:sz="12" w:space="0" w:color="auto"/>
              <w:bottom w:val="single" w:sz="12" w:space="0" w:color="auto"/>
            </w:tcBorders>
            <w:vAlign w:val="center"/>
          </w:tcPr>
          <w:p w14:paraId="3E493218"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2024</w:t>
            </w:r>
          </w:p>
        </w:tc>
        <w:tc>
          <w:tcPr>
            <w:tcW w:w="1555" w:type="dxa"/>
            <w:tcBorders>
              <w:top w:val="single" w:sz="12" w:space="0" w:color="auto"/>
              <w:bottom w:val="single" w:sz="12" w:space="0" w:color="auto"/>
              <w:right w:val="single" w:sz="12" w:space="0" w:color="auto"/>
            </w:tcBorders>
            <w:vAlign w:val="center"/>
          </w:tcPr>
          <w:p w14:paraId="19138E79"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2025</w:t>
            </w:r>
          </w:p>
        </w:tc>
      </w:tr>
      <w:tr w:rsidR="002A3D75" w14:paraId="1D4370A5" w14:textId="77777777" w:rsidTr="00F23A82">
        <w:trPr>
          <w:jc w:val="center"/>
        </w:trPr>
        <w:tc>
          <w:tcPr>
            <w:tcW w:w="1695" w:type="dxa"/>
            <w:vMerge w:val="restart"/>
            <w:tcBorders>
              <w:top w:val="single" w:sz="12" w:space="0" w:color="auto"/>
              <w:left w:val="single" w:sz="12" w:space="0" w:color="auto"/>
              <w:bottom w:val="single" w:sz="12" w:space="0" w:color="auto"/>
              <w:right w:val="single" w:sz="12" w:space="0" w:color="auto"/>
            </w:tcBorders>
            <w:vAlign w:val="center"/>
          </w:tcPr>
          <w:p w14:paraId="1ECB48B5"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Annual</w:t>
            </w:r>
          </w:p>
        </w:tc>
        <w:tc>
          <w:tcPr>
            <w:tcW w:w="1417" w:type="dxa"/>
            <w:tcBorders>
              <w:top w:val="single" w:sz="12" w:space="0" w:color="auto"/>
              <w:left w:val="single" w:sz="12" w:space="0" w:color="auto"/>
              <w:right w:val="single" w:sz="12" w:space="0" w:color="auto"/>
            </w:tcBorders>
            <w:vAlign w:val="center"/>
          </w:tcPr>
          <w:p w14:paraId="77B11C45"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Min</w:t>
            </w:r>
          </w:p>
        </w:tc>
        <w:tc>
          <w:tcPr>
            <w:tcW w:w="1554" w:type="dxa"/>
            <w:tcBorders>
              <w:top w:val="single" w:sz="12" w:space="0" w:color="auto"/>
              <w:left w:val="single" w:sz="12" w:space="0" w:color="auto"/>
            </w:tcBorders>
            <w:vAlign w:val="center"/>
          </w:tcPr>
          <w:p w14:paraId="60967F12"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-16.1</w:t>
            </w:r>
          </w:p>
        </w:tc>
        <w:tc>
          <w:tcPr>
            <w:tcW w:w="1554" w:type="dxa"/>
            <w:tcBorders>
              <w:top w:val="single" w:sz="12" w:space="0" w:color="auto"/>
            </w:tcBorders>
            <w:vAlign w:val="center"/>
          </w:tcPr>
          <w:p w14:paraId="0895C70F"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-19.8</w:t>
            </w:r>
          </w:p>
        </w:tc>
        <w:tc>
          <w:tcPr>
            <w:tcW w:w="1555" w:type="dxa"/>
            <w:tcBorders>
              <w:top w:val="single" w:sz="12" w:space="0" w:color="auto"/>
            </w:tcBorders>
            <w:vAlign w:val="center"/>
          </w:tcPr>
          <w:p w14:paraId="7502450A"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-17.4</w:t>
            </w:r>
          </w:p>
        </w:tc>
        <w:tc>
          <w:tcPr>
            <w:tcW w:w="1555" w:type="dxa"/>
            <w:tcBorders>
              <w:top w:val="single" w:sz="12" w:space="0" w:color="auto"/>
              <w:right w:val="single" w:sz="12" w:space="0" w:color="auto"/>
            </w:tcBorders>
            <w:vAlign w:val="center"/>
          </w:tcPr>
          <w:p w14:paraId="731F927B"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-18.5</w:t>
            </w:r>
          </w:p>
        </w:tc>
      </w:tr>
      <w:tr w:rsidR="002A3D75" w14:paraId="199F97A5"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3F453C70"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right w:val="single" w:sz="12" w:space="0" w:color="auto"/>
            </w:tcBorders>
            <w:vAlign w:val="center"/>
          </w:tcPr>
          <w:p w14:paraId="5E2C6E00"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Max</w:t>
            </w:r>
          </w:p>
        </w:tc>
        <w:tc>
          <w:tcPr>
            <w:tcW w:w="1554" w:type="dxa"/>
            <w:tcBorders>
              <w:left w:val="single" w:sz="12" w:space="0" w:color="auto"/>
            </w:tcBorders>
            <w:vAlign w:val="center"/>
          </w:tcPr>
          <w:p w14:paraId="6984E39E"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34.0</w:t>
            </w:r>
          </w:p>
        </w:tc>
        <w:tc>
          <w:tcPr>
            <w:tcW w:w="1554" w:type="dxa"/>
            <w:vAlign w:val="center"/>
          </w:tcPr>
          <w:p w14:paraId="2A1D1AA3"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31.7</w:t>
            </w:r>
          </w:p>
        </w:tc>
        <w:tc>
          <w:tcPr>
            <w:tcW w:w="1555" w:type="dxa"/>
            <w:vAlign w:val="center"/>
          </w:tcPr>
          <w:p w14:paraId="3993AAD1"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34.0</w:t>
            </w:r>
          </w:p>
        </w:tc>
        <w:tc>
          <w:tcPr>
            <w:tcW w:w="1555" w:type="dxa"/>
            <w:tcBorders>
              <w:right w:val="single" w:sz="12" w:space="0" w:color="auto"/>
            </w:tcBorders>
            <w:vAlign w:val="center"/>
          </w:tcPr>
          <w:p w14:paraId="710CF854"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34.0</w:t>
            </w:r>
          </w:p>
        </w:tc>
      </w:tr>
      <w:tr w:rsidR="002A3D75" w14:paraId="3B2CFE57"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1A89426D"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right w:val="single" w:sz="12" w:space="0" w:color="auto"/>
            </w:tcBorders>
            <w:vAlign w:val="center"/>
          </w:tcPr>
          <w:p w14:paraId="1EC60CE4"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Avg</w:t>
            </w:r>
          </w:p>
        </w:tc>
        <w:tc>
          <w:tcPr>
            <w:tcW w:w="1554" w:type="dxa"/>
            <w:tcBorders>
              <w:left w:val="single" w:sz="12" w:space="0" w:color="auto"/>
            </w:tcBorders>
            <w:vAlign w:val="center"/>
          </w:tcPr>
          <w:p w14:paraId="2EE950A2"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9.4</w:t>
            </w:r>
          </w:p>
        </w:tc>
        <w:tc>
          <w:tcPr>
            <w:tcW w:w="1554" w:type="dxa"/>
            <w:vAlign w:val="center"/>
          </w:tcPr>
          <w:p w14:paraId="47C72D78"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9.3</w:t>
            </w:r>
          </w:p>
        </w:tc>
        <w:tc>
          <w:tcPr>
            <w:tcW w:w="1555" w:type="dxa"/>
            <w:vAlign w:val="center"/>
          </w:tcPr>
          <w:p w14:paraId="3F282D89"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10.1</w:t>
            </w:r>
          </w:p>
        </w:tc>
        <w:tc>
          <w:tcPr>
            <w:tcW w:w="1555" w:type="dxa"/>
            <w:tcBorders>
              <w:right w:val="single" w:sz="12" w:space="0" w:color="auto"/>
            </w:tcBorders>
            <w:vAlign w:val="center"/>
          </w:tcPr>
          <w:p w14:paraId="0367AB8D"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8.8</w:t>
            </w:r>
          </w:p>
        </w:tc>
      </w:tr>
      <w:tr w:rsidR="002A3D75" w14:paraId="419EF393"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48261956"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bottom w:val="single" w:sz="12" w:space="0" w:color="auto"/>
              <w:right w:val="single" w:sz="12" w:space="0" w:color="auto"/>
            </w:tcBorders>
            <w:vAlign w:val="center"/>
          </w:tcPr>
          <w:p w14:paraId="78A6C7E3"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Avg Diff</w:t>
            </w:r>
          </w:p>
        </w:tc>
        <w:tc>
          <w:tcPr>
            <w:tcW w:w="1554" w:type="dxa"/>
            <w:tcBorders>
              <w:left w:val="single" w:sz="12" w:space="0" w:color="auto"/>
              <w:bottom w:val="single" w:sz="12" w:space="0" w:color="auto"/>
            </w:tcBorders>
            <w:vAlign w:val="center"/>
          </w:tcPr>
          <w:p w14:paraId="314F52E4"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n/a</w:t>
            </w:r>
          </w:p>
        </w:tc>
        <w:tc>
          <w:tcPr>
            <w:tcW w:w="1554" w:type="dxa"/>
            <w:tcBorders>
              <w:bottom w:val="single" w:sz="12" w:space="0" w:color="auto"/>
            </w:tcBorders>
            <w:vAlign w:val="center"/>
          </w:tcPr>
          <w:p w14:paraId="4B2BBF62"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-0.1</w:t>
            </w:r>
          </w:p>
        </w:tc>
        <w:tc>
          <w:tcPr>
            <w:tcW w:w="1555" w:type="dxa"/>
            <w:tcBorders>
              <w:bottom w:val="single" w:sz="12" w:space="0" w:color="auto"/>
            </w:tcBorders>
            <w:vAlign w:val="center"/>
          </w:tcPr>
          <w:p w14:paraId="6859E22C"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0.8</w:t>
            </w:r>
          </w:p>
        </w:tc>
        <w:tc>
          <w:tcPr>
            <w:tcW w:w="1555" w:type="dxa"/>
            <w:tcBorders>
              <w:bottom w:val="single" w:sz="12" w:space="0" w:color="auto"/>
              <w:right w:val="single" w:sz="12" w:space="0" w:color="auto"/>
            </w:tcBorders>
            <w:vAlign w:val="center"/>
          </w:tcPr>
          <w:p w14:paraId="5B46AE70"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-1.3</w:t>
            </w:r>
          </w:p>
        </w:tc>
      </w:tr>
      <w:tr w:rsidR="002A3D75" w14:paraId="22D8503C" w14:textId="77777777" w:rsidTr="00F23A82">
        <w:trPr>
          <w:jc w:val="center"/>
        </w:trPr>
        <w:tc>
          <w:tcPr>
            <w:tcW w:w="1695" w:type="dxa"/>
            <w:vMerge w:val="restart"/>
            <w:tcBorders>
              <w:top w:val="single" w:sz="12" w:space="0" w:color="auto"/>
              <w:left w:val="single" w:sz="12" w:space="0" w:color="auto"/>
              <w:bottom w:val="single" w:sz="12" w:space="0" w:color="auto"/>
              <w:right w:val="single" w:sz="12" w:space="0" w:color="auto"/>
            </w:tcBorders>
            <w:vAlign w:val="center"/>
          </w:tcPr>
          <w:p w14:paraId="09F33608"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Spring</w:t>
            </w:r>
          </w:p>
          <w:p w14:paraId="526C8C66"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(Mar 21 – Jun 20)</w:t>
            </w:r>
          </w:p>
        </w:tc>
        <w:tc>
          <w:tcPr>
            <w:tcW w:w="1417" w:type="dxa"/>
            <w:tcBorders>
              <w:top w:val="single" w:sz="12" w:space="0" w:color="auto"/>
              <w:left w:val="single" w:sz="12" w:space="0" w:color="auto"/>
              <w:right w:val="single" w:sz="12" w:space="0" w:color="auto"/>
            </w:tcBorders>
            <w:vAlign w:val="center"/>
          </w:tcPr>
          <w:p w14:paraId="29530770"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Min</w:t>
            </w:r>
          </w:p>
        </w:tc>
        <w:tc>
          <w:tcPr>
            <w:tcW w:w="1554" w:type="dxa"/>
            <w:tcBorders>
              <w:top w:val="single" w:sz="12" w:space="0" w:color="auto"/>
              <w:left w:val="single" w:sz="12" w:space="0" w:color="auto"/>
            </w:tcBorders>
            <w:vAlign w:val="center"/>
          </w:tcPr>
          <w:p w14:paraId="71511A1E"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5.4</w:t>
            </w:r>
          </w:p>
        </w:tc>
        <w:tc>
          <w:tcPr>
            <w:tcW w:w="1554" w:type="dxa"/>
            <w:tcBorders>
              <w:top w:val="single" w:sz="12" w:space="0" w:color="auto"/>
            </w:tcBorders>
            <w:vAlign w:val="center"/>
          </w:tcPr>
          <w:p w14:paraId="4F63E736"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-8.1</w:t>
            </w:r>
          </w:p>
        </w:tc>
        <w:tc>
          <w:tcPr>
            <w:tcW w:w="1555" w:type="dxa"/>
            <w:tcBorders>
              <w:top w:val="single" w:sz="12" w:space="0" w:color="auto"/>
            </w:tcBorders>
            <w:vAlign w:val="center"/>
          </w:tcPr>
          <w:p w14:paraId="46A9D543"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-9.4</w:t>
            </w:r>
          </w:p>
        </w:tc>
        <w:tc>
          <w:tcPr>
            <w:tcW w:w="1555" w:type="dxa"/>
            <w:tcBorders>
              <w:top w:val="single" w:sz="12" w:space="0" w:color="auto"/>
              <w:right w:val="single" w:sz="12" w:space="0" w:color="auto"/>
            </w:tcBorders>
            <w:vAlign w:val="center"/>
          </w:tcPr>
          <w:p w14:paraId="7C675296"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-6.2</w:t>
            </w:r>
          </w:p>
        </w:tc>
      </w:tr>
      <w:tr w:rsidR="002A3D75" w14:paraId="73AFD485"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5F8ADE7E"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right w:val="single" w:sz="12" w:space="0" w:color="auto"/>
            </w:tcBorders>
            <w:vAlign w:val="center"/>
          </w:tcPr>
          <w:p w14:paraId="6D8679A9"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Max</w:t>
            </w:r>
          </w:p>
        </w:tc>
        <w:tc>
          <w:tcPr>
            <w:tcW w:w="1554" w:type="dxa"/>
            <w:tcBorders>
              <w:left w:val="single" w:sz="12" w:space="0" w:color="auto"/>
            </w:tcBorders>
            <w:vAlign w:val="center"/>
          </w:tcPr>
          <w:p w14:paraId="5AF64C31"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34.0</w:t>
            </w:r>
          </w:p>
        </w:tc>
        <w:tc>
          <w:tcPr>
            <w:tcW w:w="1554" w:type="dxa"/>
            <w:vAlign w:val="center"/>
          </w:tcPr>
          <w:p w14:paraId="35D5E11F"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31.2</w:t>
            </w:r>
          </w:p>
        </w:tc>
        <w:tc>
          <w:tcPr>
            <w:tcW w:w="1555" w:type="dxa"/>
            <w:vAlign w:val="center"/>
          </w:tcPr>
          <w:p w14:paraId="692A3CA0"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34.0</w:t>
            </w:r>
          </w:p>
        </w:tc>
        <w:tc>
          <w:tcPr>
            <w:tcW w:w="1555" w:type="dxa"/>
            <w:tcBorders>
              <w:right w:val="single" w:sz="12" w:space="0" w:color="auto"/>
            </w:tcBorders>
            <w:vAlign w:val="center"/>
          </w:tcPr>
          <w:p w14:paraId="1464A237"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29.4</w:t>
            </w:r>
          </w:p>
        </w:tc>
      </w:tr>
      <w:tr w:rsidR="002A3D75" w14:paraId="5173F79B"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3B78E987"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right w:val="single" w:sz="12" w:space="0" w:color="auto"/>
            </w:tcBorders>
            <w:vAlign w:val="center"/>
          </w:tcPr>
          <w:p w14:paraId="28A3B996"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Avg</w:t>
            </w:r>
          </w:p>
        </w:tc>
        <w:tc>
          <w:tcPr>
            <w:tcW w:w="1554" w:type="dxa"/>
            <w:tcBorders>
              <w:left w:val="single" w:sz="12" w:space="0" w:color="auto"/>
            </w:tcBorders>
            <w:vAlign w:val="center"/>
          </w:tcPr>
          <w:p w14:paraId="2C13654B"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20.2</w:t>
            </w:r>
          </w:p>
        </w:tc>
        <w:tc>
          <w:tcPr>
            <w:tcW w:w="1554" w:type="dxa"/>
            <w:vAlign w:val="center"/>
          </w:tcPr>
          <w:p w14:paraId="7F21B1C1"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11.8</w:t>
            </w:r>
          </w:p>
        </w:tc>
        <w:tc>
          <w:tcPr>
            <w:tcW w:w="1555" w:type="dxa"/>
            <w:vAlign w:val="center"/>
          </w:tcPr>
          <w:p w14:paraId="4AAD2C34"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12.4</w:t>
            </w:r>
          </w:p>
        </w:tc>
        <w:tc>
          <w:tcPr>
            <w:tcW w:w="1555" w:type="dxa"/>
            <w:tcBorders>
              <w:right w:val="single" w:sz="12" w:space="0" w:color="auto"/>
            </w:tcBorders>
            <w:vAlign w:val="center"/>
          </w:tcPr>
          <w:p w14:paraId="7085A0BA"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11.6</w:t>
            </w:r>
          </w:p>
        </w:tc>
      </w:tr>
      <w:tr w:rsidR="002A3D75" w14:paraId="6DE20235"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68EECED9"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bottom w:val="single" w:sz="12" w:space="0" w:color="auto"/>
              <w:right w:val="single" w:sz="12" w:space="0" w:color="auto"/>
            </w:tcBorders>
            <w:vAlign w:val="center"/>
          </w:tcPr>
          <w:p w14:paraId="2C8236FF"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Avg Diff</w:t>
            </w:r>
          </w:p>
        </w:tc>
        <w:tc>
          <w:tcPr>
            <w:tcW w:w="1554" w:type="dxa"/>
            <w:tcBorders>
              <w:left w:val="single" w:sz="12" w:space="0" w:color="auto"/>
              <w:bottom w:val="single" w:sz="12" w:space="0" w:color="auto"/>
            </w:tcBorders>
            <w:vAlign w:val="center"/>
          </w:tcPr>
          <w:p w14:paraId="1A849826"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n/a</w:t>
            </w:r>
          </w:p>
        </w:tc>
        <w:tc>
          <w:tcPr>
            <w:tcW w:w="1554" w:type="dxa"/>
            <w:tcBorders>
              <w:bottom w:val="single" w:sz="12" w:space="0" w:color="auto"/>
            </w:tcBorders>
            <w:vAlign w:val="center"/>
          </w:tcPr>
          <w:p w14:paraId="6BCDB687"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-8.4</w:t>
            </w:r>
          </w:p>
        </w:tc>
        <w:tc>
          <w:tcPr>
            <w:tcW w:w="1555" w:type="dxa"/>
            <w:tcBorders>
              <w:bottom w:val="single" w:sz="12" w:space="0" w:color="auto"/>
            </w:tcBorders>
            <w:vAlign w:val="center"/>
          </w:tcPr>
          <w:p w14:paraId="4DE0593F"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0.6</w:t>
            </w:r>
          </w:p>
        </w:tc>
        <w:tc>
          <w:tcPr>
            <w:tcW w:w="1555" w:type="dxa"/>
            <w:tcBorders>
              <w:bottom w:val="single" w:sz="12" w:space="0" w:color="auto"/>
              <w:right w:val="single" w:sz="12" w:space="0" w:color="auto"/>
            </w:tcBorders>
            <w:vAlign w:val="center"/>
          </w:tcPr>
          <w:p w14:paraId="32CC97A2"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-0.8</w:t>
            </w:r>
          </w:p>
        </w:tc>
      </w:tr>
      <w:tr w:rsidR="002A3D75" w14:paraId="67B73F4E" w14:textId="77777777" w:rsidTr="00F23A82">
        <w:trPr>
          <w:jc w:val="center"/>
        </w:trPr>
        <w:tc>
          <w:tcPr>
            <w:tcW w:w="1695" w:type="dxa"/>
            <w:vMerge w:val="restart"/>
            <w:tcBorders>
              <w:top w:val="single" w:sz="12" w:space="0" w:color="auto"/>
              <w:left w:val="single" w:sz="12" w:space="0" w:color="auto"/>
              <w:bottom w:val="single" w:sz="12" w:space="0" w:color="auto"/>
              <w:right w:val="single" w:sz="12" w:space="0" w:color="auto"/>
            </w:tcBorders>
            <w:vAlign w:val="center"/>
          </w:tcPr>
          <w:p w14:paraId="127B9BB9"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Summer</w:t>
            </w:r>
          </w:p>
          <w:p w14:paraId="2B11D469"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(Jun 21 – Sept 20)</w:t>
            </w:r>
          </w:p>
        </w:tc>
        <w:tc>
          <w:tcPr>
            <w:tcW w:w="1417" w:type="dxa"/>
            <w:tcBorders>
              <w:top w:val="single" w:sz="12" w:space="0" w:color="auto"/>
              <w:left w:val="single" w:sz="12" w:space="0" w:color="auto"/>
              <w:right w:val="single" w:sz="12" w:space="0" w:color="auto"/>
            </w:tcBorders>
            <w:vAlign w:val="center"/>
          </w:tcPr>
          <w:p w14:paraId="660E8F91"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Min</w:t>
            </w:r>
          </w:p>
        </w:tc>
        <w:tc>
          <w:tcPr>
            <w:tcW w:w="1554" w:type="dxa"/>
            <w:tcBorders>
              <w:top w:val="single" w:sz="12" w:space="0" w:color="auto"/>
              <w:left w:val="single" w:sz="12" w:space="0" w:color="auto"/>
            </w:tcBorders>
            <w:vAlign w:val="center"/>
          </w:tcPr>
          <w:p w14:paraId="57A69C32"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-0.1</w:t>
            </w:r>
          </w:p>
        </w:tc>
        <w:tc>
          <w:tcPr>
            <w:tcW w:w="1554" w:type="dxa"/>
            <w:tcBorders>
              <w:top w:val="single" w:sz="12" w:space="0" w:color="auto"/>
            </w:tcBorders>
            <w:vAlign w:val="center"/>
          </w:tcPr>
          <w:p w14:paraId="2DC300EF"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-0.2</w:t>
            </w:r>
          </w:p>
        </w:tc>
        <w:tc>
          <w:tcPr>
            <w:tcW w:w="1555" w:type="dxa"/>
            <w:tcBorders>
              <w:top w:val="single" w:sz="12" w:space="0" w:color="auto"/>
            </w:tcBorders>
            <w:vAlign w:val="center"/>
          </w:tcPr>
          <w:p w14:paraId="2D079157"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7.0</w:t>
            </w:r>
          </w:p>
        </w:tc>
        <w:tc>
          <w:tcPr>
            <w:tcW w:w="1555" w:type="dxa"/>
            <w:tcBorders>
              <w:top w:val="single" w:sz="12" w:space="0" w:color="auto"/>
              <w:right w:val="single" w:sz="12" w:space="0" w:color="auto"/>
            </w:tcBorders>
            <w:vAlign w:val="center"/>
          </w:tcPr>
          <w:p w14:paraId="165F7925"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6.9</w:t>
            </w:r>
          </w:p>
        </w:tc>
      </w:tr>
      <w:tr w:rsidR="002A3D75" w14:paraId="156F583D"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7C047C62"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right w:val="single" w:sz="12" w:space="0" w:color="auto"/>
            </w:tcBorders>
            <w:vAlign w:val="center"/>
          </w:tcPr>
          <w:p w14:paraId="5324AEC4"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Max</w:t>
            </w:r>
          </w:p>
        </w:tc>
        <w:tc>
          <w:tcPr>
            <w:tcW w:w="1554" w:type="dxa"/>
            <w:tcBorders>
              <w:left w:val="single" w:sz="12" w:space="0" w:color="auto"/>
            </w:tcBorders>
            <w:vAlign w:val="center"/>
          </w:tcPr>
          <w:p w14:paraId="41517616"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30.6</w:t>
            </w:r>
          </w:p>
        </w:tc>
        <w:tc>
          <w:tcPr>
            <w:tcW w:w="1554" w:type="dxa"/>
            <w:vAlign w:val="center"/>
          </w:tcPr>
          <w:p w14:paraId="6D2BFE82"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31.7</w:t>
            </w:r>
          </w:p>
        </w:tc>
        <w:tc>
          <w:tcPr>
            <w:tcW w:w="1555" w:type="dxa"/>
            <w:vAlign w:val="center"/>
          </w:tcPr>
          <w:p w14:paraId="4BCFBD3C"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31.6</w:t>
            </w:r>
          </w:p>
        </w:tc>
        <w:tc>
          <w:tcPr>
            <w:tcW w:w="1555" w:type="dxa"/>
            <w:tcBorders>
              <w:right w:val="single" w:sz="12" w:space="0" w:color="auto"/>
            </w:tcBorders>
            <w:vAlign w:val="center"/>
          </w:tcPr>
          <w:p w14:paraId="7B9B71F2"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34.0</w:t>
            </w:r>
          </w:p>
        </w:tc>
      </w:tr>
      <w:tr w:rsidR="002A3D75" w14:paraId="3156719C"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6B98D16F"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right w:val="single" w:sz="12" w:space="0" w:color="auto"/>
            </w:tcBorders>
            <w:vAlign w:val="center"/>
          </w:tcPr>
          <w:p w14:paraId="60A76EC8"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Avg</w:t>
            </w:r>
          </w:p>
        </w:tc>
        <w:tc>
          <w:tcPr>
            <w:tcW w:w="1554" w:type="dxa"/>
            <w:tcBorders>
              <w:left w:val="single" w:sz="12" w:space="0" w:color="auto"/>
            </w:tcBorders>
            <w:vAlign w:val="center"/>
          </w:tcPr>
          <w:p w14:paraId="1251D862"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14.6</w:t>
            </w:r>
          </w:p>
        </w:tc>
        <w:tc>
          <w:tcPr>
            <w:tcW w:w="1554" w:type="dxa"/>
            <w:vAlign w:val="center"/>
          </w:tcPr>
          <w:p w14:paraId="68E6E664"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19.4</w:t>
            </w:r>
          </w:p>
        </w:tc>
        <w:tc>
          <w:tcPr>
            <w:tcW w:w="1555" w:type="dxa"/>
            <w:vAlign w:val="center"/>
          </w:tcPr>
          <w:p w14:paraId="7D216C68"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20.5</w:t>
            </w:r>
          </w:p>
        </w:tc>
        <w:tc>
          <w:tcPr>
            <w:tcW w:w="1555" w:type="dxa"/>
            <w:tcBorders>
              <w:right w:val="single" w:sz="12" w:space="0" w:color="auto"/>
            </w:tcBorders>
            <w:vAlign w:val="center"/>
          </w:tcPr>
          <w:p w14:paraId="0648C912"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21.0</w:t>
            </w:r>
          </w:p>
        </w:tc>
      </w:tr>
      <w:tr w:rsidR="002A3D75" w14:paraId="0470A1F9"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5C513EBE"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bottom w:val="single" w:sz="12" w:space="0" w:color="auto"/>
              <w:right w:val="single" w:sz="12" w:space="0" w:color="auto"/>
            </w:tcBorders>
            <w:vAlign w:val="center"/>
          </w:tcPr>
          <w:p w14:paraId="33E0ED65"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Avg Diff</w:t>
            </w:r>
          </w:p>
        </w:tc>
        <w:tc>
          <w:tcPr>
            <w:tcW w:w="1554" w:type="dxa"/>
            <w:tcBorders>
              <w:left w:val="single" w:sz="12" w:space="0" w:color="auto"/>
              <w:bottom w:val="single" w:sz="12" w:space="0" w:color="auto"/>
            </w:tcBorders>
            <w:vAlign w:val="center"/>
          </w:tcPr>
          <w:p w14:paraId="57000485"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n/a</w:t>
            </w:r>
          </w:p>
        </w:tc>
        <w:tc>
          <w:tcPr>
            <w:tcW w:w="1554" w:type="dxa"/>
            <w:tcBorders>
              <w:bottom w:val="single" w:sz="12" w:space="0" w:color="auto"/>
            </w:tcBorders>
            <w:vAlign w:val="center"/>
          </w:tcPr>
          <w:p w14:paraId="36BA5170"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4.8</w:t>
            </w:r>
          </w:p>
        </w:tc>
        <w:tc>
          <w:tcPr>
            <w:tcW w:w="1555" w:type="dxa"/>
            <w:tcBorders>
              <w:bottom w:val="single" w:sz="12" w:space="0" w:color="auto"/>
            </w:tcBorders>
            <w:vAlign w:val="center"/>
          </w:tcPr>
          <w:p w14:paraId="24D2F77A"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1.1</w:t>
            </w:r>
          </w:p>
        </w:tc>
        <w:tc>
          <w:tcPr>
            <w:tcW w:w="1555" w:type="dxa"/>
            <w:tcBorders>
              <w:bottom w:val="single" w:sz="12" w:space="0" w:color="auto"/>
              <w:right w:val="single" w:sz="12" w:space="0" w:color="auto"/>
            </w:tcBorders>
            <w:vAlign w:val="center"/>
          </w:tcPr>
          <w:p w14:paraId="4C6CC93A"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0.5</w:t>
            </w:r>
          </w:p>
        </w:tc>
      </w:tr>
      <w:tr w:rsidR="002A3D75" w14:paraId="10BC374E" w14:textId="77777777" w:rsidTr="00F23A82">
        <w:trPr>
          <w:jc w:val="center"/>
        </w:trPr>
        <w:tc>
          <w:tcPr>
            <w:tcW w:w="1695" w:type="dxa"/>
            <w:vMerge w:val="restart"/>
            <w:tcBorders>
              <w:top w:val="single" w:sz="12" w:space="0" w:color="auto"/>
              <w:left w:val="single" w:sz="12" w:space="0" w:color="auto"/>
              <w:bottom w:val="single" w:sz="12" w:space="0" w:color="auto"/>
              <w:right w:val="single" w:sz="12" w:space="0" w:color="auto"/>
            </w:tcBorders>
            <w:vAlign w:val="center"/>
          </w:tcPr>
          <w:p w14:paraId="70027025"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Autumn</w:t>
            </w:r>
          </w:p>
          <w:p w14:paraId="28953F78"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(Sept 21 – Dec 20)</w:t>
            </w:r>
          </w:p>
        </w:tc>
        <w:tc>
          <w:tcPr>
            <w:tcW w:w="1417" w:type="dxa"/>
            <w:tcBorders>
              <w:top w:val="single" w:sz="12" w:space="0" w:color="auto"/>
              <w:left w:val="single" w:sz="12" w:space="0" w:color="auto"/>
              <w:right w:val="single" w:sz="12" w:space="0" w:color="auto"/>
            </w:tcBorders>
            <w:vAlign w:val="center"/>
          </w:tcPr>
          <w:p w14:paraId="00B0942C"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Min</w:t>
            </w:r>
          </w:p>
        </w:tc>
        <w:tc>
          <w:tcPr>
            <w:tcW w:w="1554" w:type="dxa"/>
            <w:tcBorders>
              <w:top w:val="single" w:sz="12" w:space="0" w:color="auto"/>
              <w:left w:val="single" w:sz="12" w:space="0" w:color="auto"/>
            </w:tcBorders>
            <w:vAlign w:val="center"/>
          </w:tcPr>
          <w:p w14:paraId="11310A98"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-16.1</w:t>
            </w:r>
          </w:p>
        </w:tc>
        <w:tc>
          <w:tcPr>
            <w:tcW w:w="1554" w:type="dxa"/>
            <w:tcBorders>
              <w:top w:val="single" w:sz="12" w:space="0" w:color="auto"/>
            </w:tcBorders>
            <w:vAlign w:val="center"/>
          </w:tcPr>
          <w:p w14:paraId="21701BF3"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-6.3</w:t>
            </w:r>
          </w:p>
        </w:tc>
        <w:tc>
          <w:tcPr>
            <w:tcW w:w="1555" w:type="dxa"/>
            <w:tcBorders>
              <w:top w:val="single" w:sz="12" w:space="0" w:color="auto"/>
            </w:tcBorders>
            <w:vAlign w:val="center"/>
          </w:tcPr>
          <w:p w14:paraId="64ECF721"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-11.6</w:t>
            </w:r>
          </w:p>
        </w:tc>
        <w:tc>
          <w:tcPr>
            <w:tcW w:w="1555" w:type="dxa"/>
            <w:tcBorders>
              <w:top w:val="single" w:sz="12" w:space="0" w:color="auto"/>
              <w:right w:val="single" w:sz="12" w:space="0" w:color="auto"/>
            </w:tcBorders>
            <w:vAlign w:val="center"/>
          </w:tcPr>
          <w:p w14:paraId="71D197DF"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-16.4</w:t>
            </w:r>
          </w:p>
        </w:tc>
      </w:tr>
      <w:tr w:rsidR="002A3D75" w14:paraId="64605D17"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1FA27764"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right w:val="single" w:sz="12" w:space="0" w:color="auto"/>
            </w:tcBorders>
            <w:vAlign w:val="center"/>
          </w:tcPr>
          <w:p w14:paraId="36CAF8D1"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Max</w:t>
            </w:r>
          </w:p>
        </w:tc>
        <w:tc>
          <w:tcPr>
            <w:tcW w:w="1554" w:type="dxa"/>
            <w:tcBorders>
              <w:left w:val="single" w:sz="12" w:space="0" w:color="auto"/>
            </w:tcBorders>
            <w:vAlign w:val="center"/>
          </w:tcPr>
          <w:p w14:paraId="23B83A53"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11.3</w:t>
            </w:r>
          </w:p>
        </w:tc>
        <w:tc>
          <w:tcPr>
            <w:tcW w:w="1554" w:type="dxa"/>
            <w:vAlign w:val="center"/>
          </w:tcPr>
          <w:p w14:paraId="6DA2582B"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28.1</w:t>
            </w:r>
          </w:p>
        </w:tc>
        <w:tc>
          <w:tcPr>
            <w:tcW w:w="1555" w:type="dxa"/>
            <w:vAlign w:val="center"/>
          </w:tcPr>
          <w:p w14:paraId="081D578B"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28.3</w:t>
            </w:r>
          </w:p>
        </w:tc>
        <w:tc>
          <w:tcPr>
            <w:tcW w:w="1555" w:type="dxa"/>
            <w:tcBorders>
              <w:right w:val="single" w:sz="12" w:space="0" w:color="auto"/>
            </w:tcBorders>
            <w:vAlign w:val="center"/>
          </w:tcPr>
          <w:p w14:paraId="68B434F4"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27.9</w:t>
            </w:r>
          </w:p>
        </w:tc>
      </w:tr>
      <w:tr w:rsidR="002A3D75" w14:paraId="480EFE27"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5FE01D23"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right w:val="single" w:sz="12" w:space="0" w:color="auto"/>
            </w:tcBorders>
            <w:vAlign w:val="center"/>
          </w:tcPr>
          <w:p w14:paraId="33CAA321"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Avg</w:t>
            </w:r>
          </w:p>
        </w:tc>
        <w:tc>
          <w:tcPr>
            <w:tcW w:w="1554" w:type="dxa"/>
            <w:tcBorders>
              <w:left w:val="single" w:sz="12" w:space="0" w:color="auto"/>
            </w:tcBorders>
            <w:vAlign w:val="center"/>
          </w:tcPr>
          <w:p w14:paraId="7FE0F38A"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-0.4</w:t>
            </w:r>
          </w:p>
        </w:tc>
        <w:tc>
          <w:tcPr>
            <w:tcW w:w="1554" w:type="dxa"/>
            <w:vAlign w:val="center"/>
          </w:tcPr>
          <w:p w14:paraId="73EBEB11"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6.8</w:t>
            </w:r>
          </w:p>
        </w:tc>
        <w:tc>
          <w:tcPr>
            <w:tcW w:w="1555" w:type="dxa"/>
            <w:vAlign w:val="center"/>
          </w:tcPr>
          <w:p w14:paraId="3CA5E7C8"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7.7</w:t>
            </w:r>
          </w:p>
        </w:tc>
        <w:tc>
          <w:tcPr>
            <w:tcW w:w="1555" w:type="dxa"/>
            <w:tcBorders>
              <w:right w:val="single" w:sz="12" w:space="0" w:color="auto"/>
            </w:tcBorders>
            <w:vAlign w:val="center"/>
          </w:tcPr>
          <w:p w14:paraId="43B9C031"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5.4</w:t>
            </w:r>
          </w:p>
        </w:tc>
      </w:tr>
      <w:tr w:rsidR="002A3D75" w14:paraId="4FC00228"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0238FCA8"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bottom w:val="single" w:sz="12" w:space="0" w:color="auto"/>
              <w:right w:val="single" w:sz="12" w:space="0" w:color="auto"/>
            </w:tcBorders>
            <w:vAlign w:val="center"/>
          </w:tcPr>
          <w:p w14:paraId="5F416E61"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Avg Diff</w:t>
            </w:r>
          </w:p>
        </w:tc>
        <w:tc>
          <w:tcPr>
            <w:tcW w:w="1554" w:type="dxa"/>
            <w:tcBorders>
              <w:left w:val="single" w:sz="12" w:space="0" w:color="auto"/>
              <w:bottom w:val="single" w:sz="12" w:space="0" w:color="auto"/>
            </w:tcBorders>
            <w:vAlign w:val="center"/>
          </w:tcPr>
          <w:p w14:paraId="6C3465AA"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n/a</w:t>
            </w:r>
          </w:p>
        </w:tc>
        <w:tc>
          <w:tcPr>
            <w:tcW w:w="1554" w:type="dxa"/>
            <w:tcBorders>
              <w:bottom w:val="single" w:sz="12" w:space="0" w:color="auto"/>
            </w:tcBorders>
            <w:vAlign w:val="center"/>
          </w:tcPr>
          <w:p w14:paraId="312D2737"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7.2</w:t>
            </w:r>
          </w:p>
        </w:tc>
        <w:tc>
          <w:tcPr>
            <w:tcW w:w="1555" w:type="dxa"/>
            <w:tcBorders>
              <w:bottom w:val="single" w:sz="12" w:space="0" w:color="auto"/>
            </w:tcBorders>
            <w:vAlign w:val="center"/>
          </w:tcPr>
          <w:p w14:paraId="2C463795"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0.9</w:t>
            </w:r>
          </w:p>
        </w:tc>
        <w:tc>
          <w:tcPr>
            <w:tcW w:w="1555" w:type="dxa"/>
            <w:tcBorders>
              <w:bottom w:val="single" w:sz="12" w:space="0" w:color="auto"/>
              <w:right w:val="single" w:sz="12" w:space="0" w:color="auto"/>
            </w:tcBorders>
            <w:vAlign w:val="center"/>
          </w:tcPr>
          <w:p w14:paraId="1CCF175D"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-2.3</w:t>
            </w:r>
          </w:p>
        </w:tc>
      </w:tr>
      <w:tr w:rsidR="002A3D75" w14:paraId="097BE20D" w14:textId="77777777" w:rsidTr="00F23A82">
        <w:trPr>
          <w:jc w:val="center"/>
        </w:trPr>
        <w:tc>
          <w:tcPr>
            <w:tcW w:w="1695" w:type="dxa"/>
            <w:vMerge w:val="restart"/>
            <w:tcBorders>
              <w:top w:val="single" w:sz="12" w:space="0" w:color="auto"/>
              <w:left w:val="single" w:sz="12" w:space="0" w:color="auto"/>
              <w:bottom w:val="single" w:sz="12" w:space="0" w:color="auto"/>
              <w:right w:val="single" w:sz="12" w:space="0" w:color="auto"/>
            </w:tcBorders>
            <w:vAlign w:val="center"/>
          </w:tcPr>
          <w:p w14:paraId="141F9B4A"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Winter</w:t>
            </w:r>
          </w:p>
          <w:p w14:paraId="1B9528CC"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(Dec 21 – Mar 20)</w:t>
            </w:r>
          </w:p>
        </w:tc>
        <w:tc>
          <w:tcPr>
            <w:tcW w:w="1417" w:type="dxa"/>
            <w:tcBorders>
              <w:top w:val="single" w:sz="12" w:space="0" w:color="auto"/>
              <w:left w:val="single" w:sz="12" w:space="0" w:color="auto"/>
              <w:right w:val="single" w:sz="12" w:space="0" w:color="auto"/>
            </w:tcBorders>
            <w:vAlign w:val="center"/>
          </w:tcPr>
          <w:p w14:paraId="444AD574"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Min</w:t>
            </w:r>
          </w:p>
        </w:tc>
        <w:tc>
          <w:tcPr>
            <w:tcW w:w="1554" w:type="dxa"/>
            <w:tcBorders>
              <w:top w:val="single" w:sz="12" w:space="0" w:color="auto"/>
              <w:left w:val="single" w:sz="12" w:space="0" w:color="auto"/>
            </w:tcBorders>
            <w:vAlign w:val="center"/>
          </w:tcPr>
          <w:p w14:paraId="05EB9797"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-15.2</w:t>
            </w:r>
          </w:p>
        </w:tc>
        <w:tc>
          <w:tcPr>
            <w:tcW w:w="1554" w:type="dxa"/>
            <w:tcBorders>
              <w:top w:val="single" w:sz="12" w:space="0" w:color="auto"/>
            </w:tcBorders>
            <w:vAlign w:val="center"/>
          </w:tcPr>
          <w:p w14:paraId="3A23242B"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-19.8</w:t>
            </w:r>
          </w:p>
        </w:tc>
        <w:tc>
          <w:tcPr>
            <w:tcW w:w="1555" w:type="dxa"/>
            <w:tcBorders>
              <w:top w:val="single" w:sz="12" w:space="0" w:color="auto"/>
            </w:tcBorders>
            <w:vAlign w:val="center"/>
          </w:tcPr>
          <w:p w14:paraId="712F54D1"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-17.4</w:t>
            </w:r>
          </w:p>
        </w:tc>
        <w:tc>
          <w:tcPr>
            <w:tcW w:w="1555" w:type="dxa"/>
            <w:tcBorders>
              <w:top w:val="single" w:sz="12" w:space="0" w:color="auto"/>
              <w:right w:val="single" w:sz="12" w:space="0" w:color="auto"/>
            </w:tcBorders>
            <w:vAlign w:val="center"/>
          </w:tcPr>
          <w:p w14:paraId="3FD5D5E7"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-18.5</w:t>
            </w:r>
          </w:p>
        </w:tc>
      </w:tr>
      <w:tr w:rsidR="002A3D75" w14:paraId="2E356D28"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709BCC1C"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right w:val="single" w:sz="12" w:space="0" w:color="auto"/>
            </w:tcBorders>
            <w:vAlign w:val="center"/>
          </w:tcPr>
          <w:p w14:paraId="23F241A3"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Max</w:t>
            </w:r>
          </w:p>
        </w:tc>
        <w:tc>
          <w:tcPr>
            <w:tcW w:w="1554" w:type="dxa"/>
            <w:tcBorders>
              <w:left w:val="single" w:sz="12" w:space="0" w:color="auto"/>
            </w:tcBorders>
            <w:vAlign w:val="center"/>
          </w:tcPr>
          <w:p w14:paraId="1FCCE09C"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25.5</w:t>
            </w:r>
          </w:p>
        </w:tc>
        <w:tc>
          <w:tcPr>
            <w:tcW w:w="1554" w:type="dxa"/>
            <w:vAlign w:val="center"/>
          </w:tcPr>
          <w:p w14:paraId="11D184B6"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13.6</w:t>
            </w:r>
          </w:p>
        </w:tc>
        <w:tc>
          <w:tcPr>
            <w:tcW w:w="1555" w:type="dxa"/>
            <w:vAlign w:val="center"/>
          </w:tcPr>
          <w:p w14:paraId="2DDCEAE6"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19.8</w:t>
            </w:r>
          </w:p>
        </w:tc>
        <w:tc>
          <w:tcPr>
            <w:tcW w:w="1555" w:type="dxa"/>
            <w:tcBorders>
              <w:right w:val="single" w:sz="12" w:space="0" w:color="auto"/>
            </w:tcBorders>
            <w:vAlign w:val="center"/>
          </w:tcPr>
          <w:p w14:paraId="0F2C368D"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22.3</w:t>
            </w:r>
          </w:p>
        </w:tc>
      </w:tr>
      <w:tr w:rsidR="002A3D75" w14:paraId="62F640AB"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52A95845"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right w:val="single" w:sz="12" w:space="0" w:color="auto"/>
            </w:tcBorders>
            <w:vAlign w:val="center"/>
          </w:tcPr>
          <w:p w14:paraId="45AC2682"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Avg</w:t>
            </w:r>
          </w:p>
        </w:tc>
        <w:tc>
          <w:tcPr>
            <w:tcW w:w="1554" w:type="dxa"/>
            <w:tcBorders>
              <w:left w:val="single" w:sz="12" w:space="0" w:color="auto"/>
            </w:tcBorders>
            <w:vAlign w:val="center"/>
          </w:tcPr>
          <w:p w14:paraId="784E2217"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3.0</w:t>
            </w:r>
          </w:p>
        </w:tc>
        <w:tc>
          <w:tcPr>
            <w:tcW w:w="1554" w:type="dxa"/>
            <w:vAlign w:val="center"/>
          </w:tcPr>
          <w:p w14:paraId="687EB687"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-0.9</w:t>
            </w:r>
          </w:p>
        </w:tc>
        <w:tc>
          <w:tcPr>
            <w:tcW w:w="1555" w:type="dxa"/>
            <w:vAlign w:val="center"/>
          </w:tcPr>
          <w:p w14:paraId="602D41B7"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-0.2</w:t>
            </w:r>
          </w:p>
        </w:tc>
        <w:tc>
          <w:tcPr>
            <w:tcW w:w="1555" w:type="dxa"/>
            <w:tcBorders>
              <w:right w:val="single" w:sz="12" w:space="0" w:color="auto"/>
            </w:tcBorders>
            <w:vAlign w:val="center"/>
          </w:tcPr>
          <w:p w14:paraId="433F002B"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-2.9</w:t>
            </w:r>
          </w:p>
        </w:tc>
      </w:tr>
      <w:tr w:rsidR="002A3D75" w14:paraId="619C9A29" w14:textId="77777777" w:rsidTr="00F23A82">
        <w:trPr>
          <w:jc w:val="center"/>
        </w:trPr>
        <w:tc>
          <w:tcPr>
            <w:tcW w:w="1695" w:type="dxa"/>
            <w:vMerge/>
            <w:tcBorders>
              <w:left w:val="single" w:sz="12" w:space="0" w:color="auto"/>
              <w:bottom w:val="single" w:sz="12" w:space="0" w:color="auto"/>
              <w:right w:val="single" w:sz="12" w:space="0" w:color="auto"/>
            </w:tcBorders>
            <w:vAlign w:val="center"/>
          </w:tcPr>
          <w:p w14:paraId="1C1BD22A" w14:textId="77777777" w:rsidR="002A3D75" w:rsidRPr="00F23A82" w:rsidRDefault="002A3D75" w:rsidP="0035774B">
            <w:pPr>
              <w:spacing w:after="120" w:line="276" w:lineRule="auto"/>
              <w:jc w:val="center"/>
              <w:rPr>
                <w:rFonts w:cs="Arial"/>
                <w:b/>
                <w:bCs/>
                <w:color w:val="000000"/>
                <w:szCs w:val="24"/>
              </w:rPr>
            </w:pPr>
          </w:p>
        </w:tc>
        <w:tc>
          <w:tcPr>
            <w:tcW w:w="1417" w:type="dxa"/>
            <w:tcBorders>
              <w:left w:val="single" w:sz="12" w:space="0" w:color="auto"/>
              <w:bottom w:val="single" w:sz="12" w:space="0" w:color="auto"/>
              <w:right w:val="single" w:sz="12" w:space="0" w:color="auto"/>
            </w:tcBorders>
            <w:vAlign w:val="center"/>
          </w:tcPr>
          <w:p w14:paraId="725A5A44" w14:textId="77777777" w:rsidR="002A3D75" w:rsidRPr="00F23A82" w:rsidRDefault="002A3D75" w:rsidP="0035774B">
            <w:pPr>
              <w:spacing w:after="120" w:line="276" w:lineRule="auto"/>
              <w:jc w:val="center"/>
              <w:rPr>
                <w:rFonts w:cs="Arial"/>
                <w:b/>
                <w:bCs/>
                <w:color w:val="000000"/>
                <w:szCs w:val="24"/>
              </w:rPr>
            </w:pPr>
            <w:r w:rsidRPr="00F23A82">
              <w:rPr>
                <w:rFonts w:cs="Arial"/>
                <w:b/>
                <w:bCs/>
                <w:color w:val="000000"/>
                <w:szCs w:val="24"/>
              </w:rPr>
              <w:t>Avg Diff</w:t>
            </w:r>
          </w:p>
        </w:tc>
        <w:tc>
          <w:tcPr>
            <w:tcW w:w="1554" w:type="dxa"/>
            <w:tcBorders>
              <w:left w:val="single" w:sz="12" w:space="0" w:color="auto"/>
              <w:bottom w:val="single" w:sz="12" w:space="0" w:color="auto"/>
            </w:tcBorders>
            <w:vAlign w:val="center"/>
          </w:tcPr>
          <w:p w14:paraId="0F45C7B6"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n/a</w:t>
            </w:r>
          </w:p>
        </w:tc>
        <w:tc>
          <w:tcPr>
            <w:tcW w:w="1554" w:type="dxa"/>
            <w:tcBorders>
              <w:bottom w:val="single" w:sz="12" w:space="0" w:color="auto"/>
            </w:tcBorders>
            <w:vAlign w:val="center"/>
          </w:tcPr>
          <w:p w14:paraId="030B3EE7"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-3.9</w:t>
            </w:r>
          </w:p>
        </w:tc>
        <w:tc>
          <w:tcPr>
            <w:tcW w:w="1555" w:type="dxa"/>
            <w:tcBorders>
              <w:bottom w:val="single" w:sz="12" w:space="0" w:color="auto"/>
            </w:tcBorders>
            <w:vAlign w:val="center"/>
          </w:tcPr>
          <w:p w14:paraId="6178D6B8"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0.7</w:t>
            </w:r>
          </w:p>
        </w:tc>
        <w:tc>
          <w:tcPr>
            <w:tcW w:w="1555" w:type="dxa"/>
            <w:tcBorders>
              <w:bottom w:val="single" w:sz="12" w:space="0" w:color="auto"/>
              <w:right w:val="single" w:sz="12" w:space="0" w:color="auto"/>
            </w:tcBorders>
            <w:vAlign w:val="center"/>
          </w:tcPr>
          <w:p w14:paraId="73D23087" w14:textId="77777777" w:rsidR="002A3D75" w:rsidRPr="006548D8" w:rsidRDefault="002A3D75" w:rsidP="0035774B">
            <w:pPr>
              <w:spacing w:after="120" w:line="276" w:lineRule="auto"/>
              <w:jc w:val="center"/>
              <w:rPr>
                <w:rFonts w:cs="Arial"/>
                <w:b/>
                <w:bCs/>
                <w:color w:val="000000"/>
                <w:szCs w:val="24"/>
              </w:rPr>
            </w:pPr>
            <w:r w:rsidRPr="006548D8">
              <w:rPr>
                <w:rFonts w:cs="Arial"/>
                <w:bCs/>
                <w:color w:val="000000"/>
                <w:szCs w:val="24"/>
              </w:rPr>
              <w:t>-2.7</w:t>
            </w:r>
          </w:p>
        </w:tc>
      </w:tr>
    </w:tbl>
    <w:p w14:paraId="6C921523" w14:textId="77777777" w:rsidR="002A3D75" w:rsidRPr="006548D8" w:rsidRDefault="002A3D75" w:rsidP="002A3D75">
      <w:pPr>
        <w:rPr>
          <w:b/>
          <w:bCs/>
        </w:rPr>
      </w:pPr>
      <w:r w:rsidRPr="006548D8">
        <w:rPr>
          <w:bCs/>
        </w:rPr>
        <w:lastRenderedPageBreak/>
        <w:t xml:space="preserve">Rainfall decreased to 775 mm in 2025 from 950 mm in 2024 as seen in </w:t>
      </w:r>
      <w:r w:rsidRPr="00F23A82">
        <w:rPr>
          <w:b/>
          <w:bCs/>
        </w:rPr>
        <w:t>Figure 5</w:t>
      </w:r>
      <w:r w:rsidRPr="006548D8">
        <w:rPr>
          <w:bCs/>
        </w:rPr>
        <w:t>. The average yearly rainfall over the previous 5 years (2021-2025) was 852 mm. The City’s 5-year average for rain has plateaued in recent years but has increased over 10-year and 20-year periods.</w:t>
      </w:r>
    </w:p>
    <w:p w14:paraId="3B41C77E" w14:textId="77777777" w:rsidR="002A3D75" w:rsidRPr="00F23A82" w:rsidRDefault="002A3D75" w:rsidP="002A3D75">
      <w:pPr>
        <w:jc w:val="center"/>
        <w:rPr>
          <w:rFonts w:cs="Arial"/>
          <w:b/>
          <w:bCs/>
          <w:color w:val="000000"/>
          <w:szCs w:val="24"/>
        </w:rPr>
      </w:pPr>
      <w:r w:rsidRPr="00F23A82">
        <w:rPr>
          <w:rFonts w:cs="Arial"/>
          <w:b/>
          <w:bCs/>
          <w:color w:val="000000"/>
          <w:szCs w:val="24"/>
        </w:rPr>
        <w:t>Figure 5 – Yearly Rainfall (mm) 2016-2025</w:t>
      </w:r>
    </w:p>
    <w:p w14:paraId="658EF647" w14:textId="723DCD43" w:rsidR="002A3D75" w:rsidRDefault="002A3D75" w:rsidP="002A3D75">
      <w:pPr>
        <w:jc w:val="center"/>
        <w:rPr>
          <w:rFonts w:cs="Arial"/>
          <w:color w:val="000000"/>
          <w:szCs w:val="24"/>
          <w:highlight w:val="yellow"/>
        </w:rPr>
      </w:pPr>
      <w:r>
        <w:rPr>
          <w:rFonts w:cs="Arial"/>
          <w:noProof/>
          <w:color w:val="000000"/>
          <w:szCs w:val="24"/>
        </w:rPr>
        <w:drawing>
          <wp:inline distT="0" distB="0" distL="0" distR="0" wp14:anchorId="01A04362" wp14:editId="350365C6">
            <wp:extent cx="5486400" cy="3200400"/>
            <wp:effectExtent l="0" t="0" r="0" b="0"/>
            <wp:docPr id="1780479536" name="Chart 1" descr="bar graph showing yearly rainfall amounts in mm from year 2016-20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2F7AFB" w14:textId="4EA315E1" w:rsidR="002A3D75" w:rsidRPr="006548D8" w:rsidRDefault="002A3D75" w:rsidP="002A3D75">
      <w:pPr>
        <w:rPr>
          <w:b/>
          <w:bCs/>
        </w:rPr>
      </w:pPr>
      <w:r w:rsidRPr="006548D8">
        <w:rPr>
          <w:bCs/>
        </w:rPr>
        <w:t xml:space="preserve">The City of Cambridge is located within the Quaternary Ellis Creek – Speed River and Mill Creek – Grand River Watersheds. </w:t>
      </w:r>
      <w:r w:rsidR="00F23A82" w:rsidRPr="006548D8">
        <w:rPr>
          <w:bCs/>
        </w:rPr>
        <w:t>The confluence</w:t>
      </w:r>
      <w:r w:rsidRPr="006548D8">
        <w:rPr>
          <w:bCs/>
        </w:rPr>
        <w:t xml:space="preserve"> of the Grand River and the Speed River provide the majority of receiver inflow within the northern boundaries of the City’s settlement area, with a variety of smaller streams and stormwater infrastructure contributing inflow to the Grand River throughout the City. The City’s primary receiver outfall is the Grand River to the south of the City’s settlement area.</w:t>
      </w:r>
    </w:p>
    <w:p w14:paraId="0F8DB877" w14:textId="6DFBBCCD" w:rsidR="00007DB9" w:rsidRDefault="002A3D75" w:rsidP="002A3D75">
      <w:r w:rsidRPr="006548D8">
        <w:rPr>
          <w:bCs/>
        </w:rPr>
        <w:t xml:space="preserve">The Grand River’s outflow from the City decreased from 38.0 m3/s in 2024 to 33.4 m3/s in 2025, in line with the decrease in rainfall between 2024 and 2025. 5-Year and 10-Year trending show an overall decrease in both inflow and outflow within the City as seen in </w:t>
      </w:r>
      <w:r w:rsidRPr="00F23A82">
        <w:rPr>
          <w:b/>
          <w:bCs/>
        </w:rPr>
        <w:t>Figure</w:t>
      </w:r>
      <w:r w:rsidR="00992FB2">
        <w:rPr>
          <w:b/>
          <w:bCs/>
        </w:rPr>
        <w:t> </w:t>
      </w:r>
      <w:r w:rsidRPr="00F23A82">
        <w:rPr>
          <w:b/>
          <w:bCs/>
        </w:rPr>
        <w:t>6</w:t>
      </w:r>
      <w:r w:rsidRPr="006548D8">
        <w:t>.</w:t>
      </w:r>
      <w:r w:rsidR="00007DB9">
        <w:br w:type="page"/>
      </w:r>
    </w:p>
    <w:p w14:paraId="59DCEA0C" w14:textId="77777777" w:rsidR="002A3D75" w:rsidRPr="00F23A82" w:rsidRDefault="002A3D75" w:rsidP="002A3D75">
      <w:pPr>
        <w:jc w:val="center"/>
        <w:rPr>
          <w:rFonts w:cs="Arial"/>
          <w:b/>
          <w:bCs/>
          <w:color w:val="000000"/>
          <w:szCs w:val="24"/>
        </w:rPr>
      </w:pPr>
      <w:r w:rsidRPr="00F23A82">
        <w:rPr>
          <w:rFonts w:cs="Arial"/>
          <w:b/>
          <w:bCs/>
          <w:color w:val="000000"/>
          <w:szCs w:val="24"/>
        </w:rPr>
        <w:lastRenderedPageBreak/>
        <w:t>Figure 6 – City of Cambridge Surface Water Flows (m</w:t>
      </w:r>
      <w:r w:rsidRPr="00F23A82">
        <w:rPr>
          <w:rFonts w:cs="Arial"/>
          <w:b/>
          <w:bCs/>
          <w:color w:val="000000"/>
          <w:szCs w:val="24"/>
          <w:vertAlign w:val="superscript"/>
        </w:rPr>
        <w:t>3</w:t>
      </w:r>
      <w:r w:rsidRPr="00F23A82">
        <w:rPr>
          <w:rFonts w:cs="Arial"/>
          <w:b/>
          <w:bCs/>
          <w:color w:val="000000"/>
          <w:szCs w:val="24"/>
        </w:rPr>
        <w:t>/s)</w:t>
      </w:r>
    </w:p>
    <w:p w14:paraId="0B0BB53D" w14:textId="77777777" w:rsidR="002A3D75" w:rsidRDefault="002A3D75" w:rsidP="002A3D75">
      <w:pPr>
        <w:jc w:val="center"/>
        <w:rPr>
          <w:rFonts w:cs="Arial"/>
          <w:b/>
          <w:bCs/>
          <w:noProof/>
          <w:color w:val="000000"/>
          <w:szCs w:val="24"/>
        </w:rPr>
      </w:pPr>
      <w:r w:rsidRPr="00F43150">
        <w:rPr>
          <w:rFonts w:cs="Arial"/>
          <w:noProof/>
          <w:color w:val="000000"/>
          <w:szCs w:val="24"/>
        </w:rPr>
        <w:drawing>
          <wp:inline distT="0" distB="0" distL="0" distR="0" wp14:anchorId="1C3F4913" wp14:editId="1EB0FD9F">
            <wp:extent cx="5342816" cy="2644959"/>
            <wp:effectExtent l="0" t="0" r="10795" b="3175"/>
            <wp:docPr id="1719958314" name="Chart 2" descr="line graph summarizing surface water flows from 2016-20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34A7B2" w14:textId="77777777" w:rsidR="002A3D75" w:rsidRDefault="002A3D75" w:rsidP="002A3D75">
      <w:pPr>
        <w:rPr>
          <w:rFonts w:cs="Arial"/>
          <w:b/>
          <w:bCs/>
          <w:noProof/>
          <w:color w:val="000000"/>
          <w:szCs w:val="24"/>
        </w:rPr>
      </w:pPr>
      <w:r w:rsidRPr="006548D8">
        <w:rPr>
          <w:rFonts w:cs="Arial"/>
          <w:bCs/>
          <w:noProof/>
          <w:color w:val="000000"/>
          <w:szCs w:val="24"/>
        </w:rPr>
        <w:t xml:space="preserve">The City’s 20-year trending shows an increase in annual rainfall contrasting with a decrease in annual outflow as seen in </w:t>
      </w:r>
      <w:r w:rsidRPr="00F23A82">
        <w:rPr>
          <w:rFonts w:cs="Arial"/>
          <w:b/>
          <w:bCs/>
          <w:noProof/>
          <w:color w:val="000000"/>
          <w:szCs w:val="24"/>
        </w:rPr>
        <w:t>Figure 7</w:t>
      </w:r>
      <w:r w:rsidRPr="006548D8">
        <w:rPr>
          <w:rFonts w:cs="Arial"/>
          <w:bCs/>
          <w:noProof/>
          <w:color w:val="000000"/>
          <w:szCs w:val="24"/>
        </w:rPr>
        <w:t>. While no direct causation has been determined, similar trending can be caused by climate change factors in humid</w:t>
      </w:r>
      <w:r>
        <w:rPr>
          <w:rFonts w:cs="Arial"/>
          <w:bCs/>
          <w:noProof/>
          <w:color w:val="000000"/>
          <w:szCs w:val="24"/>
        </w:rPr>
        <w:t xml:space="preserve"> </w:t>
      </w:r>
      <w:r w:rsidRPr="006548D8">
        <w:rPr>
          <w:rFonts w:cs="Arial"/>
          <w:bCs/>
          <w:noProof/>
          <w:color w:val="000000"/>
          <w:szCs w:val="24"/>
        </w:rPr>
        <w:t>continental climates such as Southwestern Ontario. The City will continue to monitor these environmental parameters.</w:t>
      </w:r>
    </w:p>
    <w:p w14:paraId="4A532FDF" w14:textId="7460663C" w:rsidR="00F23A82" w:rsidRPr="00F23A82" w:rsidRDefault="002A3D75" w:rsidP="00F23A82">
      <w:pPr>
        <w:jc w:val="center"/>
        <w:rPr>
          <w:rFonts w:cs="Arial"/>
          <w:noProof/>
          <w:color w:val="000000"/>
          <w:szCs w:val="24"/>
        </w:rPr>
      </w:pPr>
      <w:r w:rsidRPr="00F23A82">
        <w:rPr>
          <w:rFonts w:cs="Arial"/>
          <w:b/>
          <w:bCs/>
          <w:noProof/>
          <w:color w:val="000000"/>
          <w:szCs w:val="24"/>
        </w:rPr>
        <w:t>Figure 7 – Long-Term Outflow and Rainfall</w:t>
      </w:r>
      <w:r>
        <w:rPr>
          <w:rFonts w:cs="Arial"/>
          <w:noProof/>
          <w:color w:val="000000"/>
          <w:szCs w:val="24"/>
        </w:rPr>
        <w:drawing>
          <wp:inline distT="0" distB="0" distL="0" distR="0" wp14:anchorId="20BED2A1" wp14:editId="6F7AE5ED">
            <wp:extent cx="5716889" cy="3476231"/>
            <wp:effectExtent l="0" t="0" r="17780" b="10160"/>
            <wp:docPr id="1202094191" name="Chart 3" descr="line graph summarizing long term outflow and rainfall"/>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B368CD" w14:textId="445929B6" w:rsidR="00F23A82" w:rsidRDefault="002A3D75" w:rsidP="0060616D">
      <w:pPr>
        <w:rPr>
          <w:rFonts w:cs="Arial"/>
          <w:bCs/>
          <w:noProof/>
          <w:color w:val="000000"/>
          <w:szCs w:val="24"/>
        </w:rPr>
      </w:pPr>
      <w:r w:rsidRPr="006548D8">
        <w:rPr>
          <w:rFonts w:cs="Arial"/>
          <w:bCs/>
          <w:noProof/>
          <w:color w:val="000000"/>
          <w:szCs w:val="24"/>
        </w:rPr>
        <w:t xml:space="preserve">Inflow &amp; Infiltration (I&amp;I) is groundwater/rainwater which ends up in the Wastewater Collection System, rather than the SWM System. I&amp;I has been estimated to be roughly 2,287,450 m3 </w:t>
      </w:r>
      <w:r w:rsidRPr="006548D8">
        <w:rPr>
          <w:rFonts w:cs="Arial"/>
          <w:bCs/>
          <w:noProof/>
          <w:color w:val="000000"/>
          <w:szCs w:val="24"/>
        </w:rPr>
        <w:lastRenderedPageBreak/>
        <w:t xml:space="preserve">(14.8%) in 2025, down from 2,396,213 m3 (15.2%) in 2024. The City continues to prioritize projects and preventative maintenance designed to minimize I&amp;I, which has lead to a steady decrease as seen in </w:t>
      </w:r>
      <w:r w:rsidRPr="00F23A82">
        <w:rPr>
          <w:rFonts w:cs="Arial"/>
          <w:b/>
          <w:bCs/>
          <w:noProof/>
          <w:color w:val="000000"/>
          <w:szCs w:val="24"/>
        </w:rPr>
        <w:t>Figure 8</w:t>
      </w:r>
      <w:r w:rsidRPr="006548D8">
        <w:rPr>
          <w:rFonts w:cs="Arial"/>
          <w:bCs/>
          <w:noProof/>
          <w:color w:val="000000"/>
          <w:szCs w:val="24"/>
        </w:rPr>
        <w:t>.</w:t>
      </w:r>
    </w:p>
    <w:p w14:paraId="673C5FF8" w14:textId="3E883058" w:rsidR="002A3D75" w:rsidRPr="00F23A82" w:rsidRDefault="002A3D75" w:rsidP="00F23A82">
      <w:pPr>
        <w:keepNext/>
        <w:jc w:val="center"/>
        <w:rPr>
          <w:b/>
        </w:rPr>
      </w:pPr>
      <w:r w:rsidRPr="00F23A82">
        <w:rPr>
          <w:b/>
        </w:rPr>
        <w:t>Figure 8 – Inflow &amp; Infiltration (%)</w:t>
      </w:r>
    </w:p>
    <w:p w14:paraId="123AA91A" w14:textId="77777777" w:rsidR="002A3D75" w:rsidRDefault="002A3D75" w:rsidP="00F23A82">
      <w:pPr>
        <w:keepNext/>
        <w:jc w:val="center"/>
        <w:rPr>
          <w:noProof/>
        </w:rPr>
      </w:pPr>
      <w:r>
        <w:rPr>
          <w:noProof/>
        </w:rPr>
        <w:drawing>
          <wp:inline distT="0" distB="0" distL="0" distR="0" wp14:anchorId="37F46E09" wp14:editId="28716E27">
            <wp:extent cx="5486400" cy="3200400"/>
            <wp:effectExtent l="0" t="0" r="0" b="0"/>
            <wp:docPr id="644623843" name="Chart 4" descr="bar graph summarizing inflow and infiltration from year 2015-20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761585" w14:textId="77777777" w:rsidR="002A3D75" w:rsidRDefault="002A3D75" w:rsidP="002A3D75">
      <w:pPr>
        <w:keepNext/>
        <w:rPr>
          <w:rFonts w:cs="Arial"/>
          <w:b/>
          <w:bCs/>
          <w:szCs w:val="24"/>
        </w:rPr>
      </w:pPr>
      <w:r w:rsidRPr="006548D8">
        <w:rPr>
          <w:rFonts w:cs="Arial"/>
          <w:bCs/>
          <w:szCs w:val="24"/>
        </w:rPr>
        <w:t>The City’s CLI-ECA requires a SWM System Monitoring Plan which should be put into place within 24 months of the publication of the MECP’s monitoring guidance document. As the monitoring guidance document has not been published at the time of this report, the current regulatory timeline is to be determined. The City formed a partnership with the University of Guelph in 2025 to coordinate a Stormwater Quality Monitoring Program Pilot Project with implementation aimed for 2026. The goal of the City’s Monitoring Plan is to provide data focusing on long-term receiver health, creating a strong foundation for continued environmental stewardship. Data from these monitoring stations will be provided and analyzed in future Performance Reports.</w:t>
      </w:r>
    </w:p>
    <w:p w14:paraId="20248FAC" w14:textId="77777777" w:rsidR="002A3D75" w:rsidRPr="00F23A82" w:rsidRDefault="002A3D75" w:rsidP="002A3D75">
      <w:pPr>
        <w:keepNext/>
        <w:rPr>
          <w:rFonts w:cs="Arial"/>
          <w:b/>
          <w:bCs/>
          <w:szCs w:val="24"/>
        </w:rPr>
      </w:pPr>
      <w:r w:rsidRPr="00F23A82">
        <w:rPr>
          <w:rFonts w:cs="Arial"/>
          <w:b/>
          <w:bCs/>
          <w:szCs w:val="24"/>
        </w:rPr>
        <w:t>Operational Problems and Corrective Actions:</w:t>
      </w:r>
    </w:p>
    <w:p w14:paraId="35A872CE" w14:textId="77777777" w:rsidR="002A3D75" w:rsidRPr="006548D8" w:rsidRDefault="002A3D75" w:rsidP="002A3D75">
      <w:pPr>
        <w:keepNext/>
        <w:rPr>
          <w:rFonts w:cs="Arial"/>
          <w:b/>
          <w:bCs/>
          <w:szCs w:val="24"/>
        </w:rPr>
      </w:pPr>
      <w:r w:rsidRPr="006548D8">
        <w:rPr>
          <w:rFonts w:cs="Arial"/>
          <w:bCs/>
          <w:szCs w:val="24"/>
        </w:rPr>
        <w:t>Environmental Servies defines “Operational Problem” as exceptional circumstance which may directly affect the City’s ability to provide stormwater protection to the public or the environment including, but not limited to, storm main blocks/collapse, catch basin blockages, and storm pond overflows.</w:t>
      </w:r>
    </w:p>
    <w:p w14:paraId="1A4920F4" w14:textId="77777777" w:rsidR="002A3D75" w:rsidRPr="006548D8" w:rsidRDefault="002A3D75" w:rsidP="002A3D75">
      <w:pPr>
        <w:keepNext/>
        <w:rPr>
          <w:rFonts w:cs="Arial"/>
          <w:b/>
          <w:bCs/>
          <w:szCs w:val="24"/>
        </w:rPr>
      </w:pPr>
      <w:r w:rsidRPr="006548D8">
        <w:rPr>
          <w:rFonts w:cs="Arial"/>
          <w:bCs/>
          <w:szCs w:val="24"/>
        </w:rPr>
        <w:t xml:space="preserve">Blockages found in storm mains may induce localized flooding which can cause varying degrees of damage to the environment and public property. The City had 0 stormwater main blocks in 2025 and a total of 2 blocks over the previous 5 years. Preventative maintenance </w:t>
      </w:r>
      <w:r w:rsidRPr="006548D8">
        <w:rPr>
          <w:rFonts w:cs="Arial"/>
          <w:bCs/>
          <w:szCs w:val="24"/>
        </w:rPr>
        <w:lastRenderedPageBreak/>
        <w:t>practices such as CCTV inspection have helped maintain storm pipe integrity, catching issues that may have caused future stormwater main blocks before they occurred.</w:t>
      </w:r>
    </w:p>
    <w:p w14:paraId="0281FB80" w14:textId="5C0F1E89" w:rsidR="002A3D75" w:rsidRPr="006548D8" w:rsidRDefault="002A3D75" w:rsidP="002A3D75">
      <w:pPr>
        <w:keepNext/>
        <w:rPr>
          <w:rFonts w:cs="Arial"/>
          <w:b/>
          <w:bCs/>
          <w:szCs w:val="24"/>
        </w:rPr>
      </w:pPr>
      <w:r w:rsidRPr="006548D8">
        <w:rPr>
          <w:rFonts w:cs="Arial"/>
          <w:bCs/>
          <w:szCs w:val="24"/>
        </w:rPr>
        <w:t xml:space="preserve">Obstructions found in catch basins can re-route stormwater flow which may cause damage to public property, and the introduction of unwanted irritants to the environment. Environmental Services dealt with 39 incidents requiring catch basins to be cleared of external or internal obstructions in 2025, compared to 34 in 2024. Incidents included general debris, biodegradables, and broken infrastructure, and were dealt with in a variety of ways including CCTVing the area, flushing, and confined space entry. The City maintains a catch basin cleaning preventative maintenance program, including weekly inspections, which proactively aims to reduce the amount of obstruction incidents. </w:t>
      </w:r>
      <w:r w:rsidR="0035406B" w:rsidRPr="006548D8">
        <w:rPr>
          <w:rFonts w:cs="Arial"/>
          <w:bCs/>
          <w:szCs w:val="24"/>
        </w:rPr>
        <w:t>Additionally,</w:t>
      </w:r>
      <w:r w:rsidRPr="006548D8">
        <w:rPr>
          <w:rFonts w:cs="Arial"/>
          <w:bCs/>
          <w:szCs w:val="24"/>
        </w:rPr>
        <w:t xml:space="preserve"> 42 catch basins and manhole covers were repaired, adjusted, or replaced to ensure customer safety in 2025, compared to 69 in 2024.</w:t>
      </w:r>
    </w:p>
    <w:p w14:paraId="4F99FC38" w14:textId="77777777" w:rsidR="002A3D75" w:rsidRPr="006548D8" w:rsidRDefault="002A3D75" w:rsidP="002A3D75">
      <w:pPr>
        <w:keepNext/>
        <w:rPr>
          <w:rFonts w:cs="Arial"/>
          <w:b/>
          <w:bCs/>
          <w:szCs w:val="24"/>
        </w:rPr>
      </w:pPr>
      <w:r w:rsidRPr="006548D8">
        <w:rPr>
          <w:rFonts w:cs="Arial"/>
          <w:bCs/>
          <w:szCs w:val="24"/>
        </w:rPr>
        <w:t>Runoff from SWM facilities may cause varying degrees of damage to the environment and public property. There were 4 storm retention pond overflows tracked by the City in 2025, compared to 3 in 2024. Heavy rain events caused all 4 of the overflows, with levels returning to normal in a natural manner. Infrastructure Services attended to any debris caused by the overflows on behalf of Environmental Services. The City’s Monitoring Plan will provide additional overflow tracking, allowing for more investigations for future performance reporting.</w:t>
      </w:r>
    </w:p>
    <w:p w14:paraId="616DDC51" w14:textId="77777777" w:rsidR="002A3D75" w:rsidRPr="00F23A82" w:rsidRDefault="002A3D75" w:rsidP="002A3D75">
      <w:pPr>
        <w:keepNext/>
        <w:rPr>
          <w:rFonts w:cs="Arial"/>
          <w:b/>
          <w:bCs/>
          <w:szCs w:val="24"/>
        </w:rPr>
      </w:pPr>
      <w:r w:rsidRPr="00F23A82">
        <w:rPr>
          <w:rFonts w:cs="Arial"/>
          <w:b/>
          <w:bCs/>
          <w:szCs w:val="24"/>
        </w:rPr>
        <w:t>Preventative Maintenance:</w:t>
      </w:r>
    </w:p>
    <w:p w14:paraId="4EA9F674" w14:textId="77777777" w:rsidR="002A3D75" w:rsidRPr="006548D8" w:rsidRDefault="002A3D75" w:rsidP="002A3D75">
      <w:pPr>
        <w:keepNext/>
        <w:rPr>
          <w:rFonts w:cs="Arial"/>
          <w:b/>
          <w:bCs/>
          <w:szCs w:val="24"/>
        </w:rPr>
      </w:pPr>
      <w:r w:rsidRPr="006548D8">
        <w:rPr>
          <w:rFonts w:cs="Arial"/>
          <w:bCs/>
          <w:szCs w:val="24"/>
        </w:rPr>
        <w:t>The City has established a preventative maintenance schedule to help reduce operational problems before they occur within the SWM System. Regular preventative maintenance ensures continued functionality, and helps identify and address issues early on, preventing potential failures or blockages that could lead to flooding, erosion, or water quality issues. This proactive approach ensures the system operates effectively, reducing the risk of damage and minimizing the environmental impact.</w:t>
      </w:r>
    </w:p>
    <w:p w14:paraId="6960909D" w14:textId="77777777" w:rsidR="002A3D75" w:rsidRPr="006548D8" w:rsidRDefault="002A3D75" w:rsidP="002A3D75">
      <w:pPr>
        <w:keepNext/>
        <w:rPr>
          <w:rFonts w:cs="Arial"/>
          <w:b/>
          <w:bCs/>
          <w:szCs w:val="24"/>
        </w:rPr>
      </w:pPr>
      <w:r w:rsidRPr="006548D8">
        <w:rPr>
          <w:rFonts w:cs="Arial"/>
          <w:bCs/>
          <w:szCs w:val="24"/>
        </w:rPr>
        <w:t xml:space="preserve">The integrity of the City’s stormwater infrastructure is an important aspect of the SWM System as the City aims to avoid blockages, leaks, or flooding events which may cause larger operational problems. CCTV technology allows Environmental Services staff to assess pipe integrity, identify potential issues for future works, and observe blockages, without causing disruption to City customers. Environmental Services staff inspected 562 stormwater pipes, or roughly 23.1 km of the City’s SWM System, with CCTV cameras in 2025 compared to 981 pipes (41.2 km) in 2024. Over the past 5 years the City has inspected an average of 704 pipes, covering 30.3 km, annually. The City has now documented 85% of the Stormwater Management System on camera with the help of Environmental Service’s staff. </w:t>
      </w:r>
    </w:p>
    <w:p w14:paraId="3898B406" w14:textId="77777777" w:rsidR="002A3D75" w:rsidRPr="006548D8" w:rsidRDefault="002A3D75" w:rsidP="002A3D75">
      <w:pPr>
        <w:keepNext/>
        <w:rPr>
          <w:rFonts w:cs="Arial"/>
          <w:b/>
          <w:bCs/>
          <w:szCs w:val="24"/>
        </w:rPr>
      </w:pPr>
      <w:r w:rsidRPr="006548D8">
        <w:rPr>
          <w:rFonts w:cs="Arial"/>
          <w:bCs/>
          <w:szCs w:val="24"/>
        </w:rPr>
        <w:t xml:space="preserve">The City maintains a catch basin cleaning preventative maintenance program which proactively aims to reduce the amount of obstruction incidents. 2,623 (24.7%) total catch basins were cleaned in 2025 resulting in 366.76 tonnes of debris removed from the SWM </w:t>
      </w:r>
      <w:r w:rsidRPr="006548D8">
        <w:rPr>
          <w:rFonts w:cs="Arial"/>
          <w:bCs/>
          <w:szCs w:val="24"/>
        </w:rPr>
        <w:lastRenderedPageBreak/>
        <w:t>System, compared to 3,011 (28.3%) catch basins and 326.92 tonnes in 2024. Over the past 5 years the City has cleaned an average of 3,082 (29.0%) catch basins and 330.19 tonnes annually.</w:t>
      </w:r>
    </w:p>
    <w:p w14:paraId="553F0D9D" w14:textId="77777777" w:rsidR="002A3D75" w:rsidRPr="006548D8" w:rsidRDefault="002A3D75" w:rsidP="002A3D75">
      <w:pPr>
        <w:keepNext/>
        <w:rPr>
          <w:rFonts w:cs="Arial"/>
          <w:b/>
          <w:bCs/>
          <w:szCs w:val="24"/>
        </w:rPr>
      </w:pPr>
      <w:r w:rsidRPr="006548D8">
        <w:rPr>
          <w:rFonts w:cs="Arial"/>
          <w:bCs/>
          <w:szCs w:val="24"/>
        </w:rPr>
        <w:t>As part of the City’s stormwater preventative maintenance schedule, Environmental Services staff perform weekly storm pond inspections. These inspections observe the overall health of storm ponds as Environmental Services staff aim to proactively detect any potential operational problems which may arise. 95 storm ponds were inspected in 2025, down from 139 inspected in 2024. Over the past 4 years the City has inspected an average of 105 ponds annually. The drop in storm pond inspections corelates with the Stormwater Division’s additional focus on stormwater inlet and outlet inspections in 2025. In total 115 (63.2%) stormwater inlets and 545 (58.1%) stormwater outlets were inspected during the division’s first full year.</w:t>
      </w:r>
    </w:p>
    <w:p w14:paraId="6EFA2C27" w14:textId="77777777" w:rsidR="002A3D75" w:rsidRPr="006548D8" w:rsidRDefault="002A3D75" w:rsidP="002A3D75">
      <w:pPr>
        <w:keepNext/>
        <w:rPr>
          <w:rFonts w:cs="Arial"/>
          <w:b/>
          <w:bCs/>
          <w:szCs w:val="24"/>
        </w:rPr>
      </w:pPr>
      <w:r w:rsidRPr="006548D8">
        <w:rPr>
          <w:rFonts w:cs="Arial"/>
          <w:bCs/>
          <w:szCs w:val="24"/>
        </w:rPr>
        <w:t>Oil and Grit Separator (OGS) Units are an important piece of the City’s Stormwater Management System as they are designed to trap and settle large sediments and particulate matter, debris, and hydrocarbons from highly impervious areas. Environmental Services inspected 38 of the 52 City-owned OGS Units in 2025. Down from all 52 in 2024.</w:t>
      </w:r>
    </w:p>
    <w:p w14:paraId="0E7CD87F" w14:textId="77777777" w:rsidR="002A3D75" w:rsidRPr="006548D8" w:rsidRDefault="002A3D75" w:rsidP="002A3D75">
      <w:pPr>
        <w:keepNext/>
        <w:rPr>
          <w:rFonts w:cs="Arial"/>
          <w:b/>
          <w:bCs/>
          <w:szCs w:val="24"/>
        </w:rPr>
      </w:pPr>
      <w:r w:rsidRPr="006548D8">
        <w:rPr>
          <w:rFonts w:cs="Arial"/>
          <w:bCs/>
          <w:szCs w:val="24"/>
        </w:rPr>
        <w:t>The City added biannual dam inspections to its SWM System preventative maintenance schedule. Environmental Services inspected all 3 City-owned dams in 2025, with inspections taking place while deploying and removing seasonal booms.</w:t>
      </w:r>
    </w:p>
    <w:p w14:paraId="668A2B38" w14:textId="77777777" w:rsidR="002A3D75" w:rsidRPr="00F23A82" w:rsidRDefault="002A3D75" w:rsidP="002A3D75">
      <w:pPr>
        <w:keepNext/>
        <w:rPr>
          <w:rFonts w:cs="Arial"/>
          <w:b/>
          <w:bCs/>
          <w:szCs w:val="24"/>
        </w:rPr>
      </w:pPr>
      <w:r w:rsidRPr="00F23A82">
        <w:rPr>
          <w:rFonts w:cs="Arial"/>
          <w:b/>
          <w:bCs/>
          <w:szCs w:val="24"/>
        </w:rPr>
        <w:t>Customer Feedback:</w:t>
      </w:r>
    </w:p>
    <w:p w14:paraId="5DA8EE31" w14:textId="77777777" w:rsidR="002A3D75" w:rsidRPr="006548D8" w:rsidRDefault="002A3D75" w:rsidP="002A3D75">
      <w:pPr>
        <w:keepNext/>
        <w:rPr>
          <w:rFonts w:cs="Arial"/>
          <w:b/>
          <w:bCs/>
          <w:szCs w:val="24"/>
        </w:rPr>
      </w:pPr>
      <w:r w:rsidRPr="006548D8">
        <w:rPr>
          <w:rFonts w:cs="Arial"/>
          <w:bCs/>
          <w:szCs w:val="24"/>
        </w:rPr>
        <w:t xml:space="preserve">In addition to operational problems and preventative maintenance, the City investigated 28 storm pond customer complaints ranging from private drainage issues and potential flooding to site access and safety concerns. Environmental Services staff ensured each issue was addressed and customers were informed within an appropriate timeframe. </w:t>
      </w:r>
    </w:p>
    <w:p w14:paraId="34C6A864" w14:textId="77777777" w:rsidR="002A3D75" w:rsidRPr="006548D8" w:rsidRDefault="002A3D75" w:rsidP="002A3D75">
      <w:pPr>
        <w:keepNext/>
        <w:rPr>
          <w:rFonts w:cs="Arial"/>
          <w:b/>
          <w:bCs/>
          <w:szCs w:val="24"/>
        </w:rPr>
      </w:pPr>
      <w:r w:rsidRPr="006548D8">
        <w:rPr>
          <w:rFonts w:cs="Arial"/>
          <w:bCs/>
          <w:szCs w:val="24"/>
        </w:rPr>
        <w:t>Environmental Services staff promptly investigated 51 public catch basin complaints ranging from 22 incidents requiring external catch basin clearing, 17 requiring internal catch basin clean outs, 6 spills, and 6 incidents of personal item retrieval.</w:t>
      </w:r>
    </w:p>
    <w:p w14:paraId="4436CEF5" w14:textId="77777777" w:rsidR="002A3D75" w:rsidRPr="00F23A82" w:rsidRDefault="002A3D75" w:rsidP="002A3D75">
      <w:pPr>
        <w:keepNext/>
        <w:rPr>
          <w:rFonts w:cs="Arial"/>
          <w:b/>
          <w:bCs/>
          <w:szCs w:val="24"/>
        </w:rPr>
      </w:pPr>
      <w:r w:rsidRPr="00F23A82">
        <w:rPr>
          <w:rFonts w:cs="Arial"/>
          <w:b/>
          <w:bCs/>
          <w:szCs w:val="24"/>
        </w:rPr>
        <w:t>System Alterations</w:t>
      </w:r>
    </w:p>
    <w:p w14:paraId="05AE638D" w14:textId="77777777" w:rsidR="002A3D75" w:rsidRPr="006548D8" w:rsidRDefault="002A3D75" w:rsidP="002A3D75">
      <w:pPr>
        <w:keepNext/>
        <w:rPr>
          <w:rFonts w:cs="Arial"/>
          <w:b/>
          <w:bCs/>
          <w:szCs w:val="24"/>
        </w:rPr>
      </w:pPr>
      <w:r w:rsidRPr="006548D8">
        <w:rPr>
          <w:rFonts w:cs="Arial"/>
          <w:bCs/>
          <w:szCs w:val="24"/>
        </w:rPr>
        <w:t>In 2025 the Stormwater Management System grew by approximately 0.1%, the equivalent of 0.6 km of new storm pipe and leads, with an additional 1.8 km of pipe and leads replaced or rehabilitated, compared to 3.1 km of new infrastructure added and 1.0 km of replacements and rehabilitation in 2024.</w:t>
      </w:r>
    </w:p>
    <w:p w14:paraId="0CBE9148" w14:textId="77777777" w:rsidR="002A3D75" w:rsidRDefault="002A3D75" w:rsidP="002A3D75">
      <w:pPr>
        <w:keepNext/>
        <w:rPr>
          <w:rFonts w:cs="Arial"/>
          <w:b/>
          <w:bCs/>
          <w:szCs w:val="24"/>
        </w:rPr>
      </w:pPr>
      <w:r w:rsidRPr="006548D8">
        <w:rPr>
          <w:rFonts w:cs="Arial"/>
          <w:bCs/>
          <w:szCs w:val="24"/>
        </w:rPr>
        <w:t xml:space="preserve">The City approved 6 projects through the City’s CLI-ECA process in 2025, which included additions to, or alterations of, the SWM System as seen in </w:t>
      </w:r>
      <w:r w:rsidRPr="00F23A82">
        <w:rPr>
          <w:rFonts w:cs="Arial"/>
          <w:b/>
          <w:bCs/>
          <w:szCs w:val="24"/>
        </w:rPr>
        <w:t>Figure 9</w:t>
      </w:r>
      <w:r w:rsidRPr="006548D8">
        <w:rPr>
          <w:rFonts w:cs="Arial"/>
          <w:bCs/>
          <w:szCs w:val="24"/>
        </w:rPr>
        <w:t xml:space="preserve">. Each project was </w:t>
      </w:r>
      <w:r w:rsidRPr="006548D8">
        <w:rPr>
          <w:rFonts w:cs="Arial"/>
          <w:bCs/>
          <w:szCs w:val="24"/>
        </w:rPr>
        <w:lastRenderedPageBreak/>
        <w:t>carefully reviewed by Environmental Services staff, as well as the City’s Engineering department, before projects were able to proceed.</w:t>
      </w:r>
    </w:p>
    <w:p w14:paraId="05D834E7" w14:textId="77777777" w:rsidR="002A3D75" w:rsidRPr="00F23A82" w:rsidRDefault="002A3D75" w:rsidP="002A3D75">
      <w:pPr>
        <w:jc w:val="center"/>
        <w:rPr>
          <w:b/>
          <w:bCs/>
        </w:rPr>
      </w:pPr>
      <w:r w:rsidRPr="00F23A82">
        <w:rPr>
          <w:b/>
          <w:bCs/>
        </w:rPr>
        <w:t>Figure 9 – Stormwater Management System Alterations</w:t>
      </w:r>
    </w:p>
    <w:tbl>
      <w:tblPr>
        <w:tblStyle w:val="TableGrid"/>
        <w:tblW w:w="0" w:type="auto"/>
        <w:tblLook w:val="04A0" w:firstRow="1" w:lastRow="0" w:firstColumn="1" w:lastColumn="0" w:noHBand="0" w:noVBand="1"/>
        <w:tblCaption w:val="Stormwater Management System Alterations"/>
        <w:tblDescription w:val="various projects that have gone through the stormwater management system alteration process."/>
      </w:tblPr>
      <w:tblGrid>
        <w:gridCol w:w="1324"/>
        <w:gridCol w:w="2285"/>
        <w:gridCol w:w="3159"/>
        <w:gridCol w:w="1530"/>
        <w:gridCol w:w="1800"/>
      </w:tblGrid>
      <w:tr w:rsidR="002A3D75" w14:paraId="7E8F7370" w14:textId="77777777" w:rsidTr="00F23A82">
        <w:trPr>
          <w:cantSplit/>
          <w:tblHeader/>
        </w:trPr>
        <w:tc>
          <w:tcPr>
            <w:tcW w:w="1324" w:type="dxa"/>
          </w:tcPr>
          <w:p w14:paraId="527228CE" w14:textId="77777777" w:rsidR="002A3D75" w:rsidRPr="006548D8" w:rsidRDefault="002A3D75" w:rsidP="0035774B">
            <w:pPr>
              <w:spacing w:after="120" w:line="276" w:lineRule="auto"/>
            </w:pPr>
            <w:r w:rsidRPr="006548D8">
              <w:t>Reference Number</w:t>
            </w:r>
          </w:p>
        </w:tc>
        <w:tc>
          <w:tcPr>
            <w:tcW w:w="2285" w:type="dxa"/>
          </w:tcPr>
          <w:p w14:paraId="00944B18" w14:textId="77777777" w:rsidR="002A3D75" w:rsidRPr="006548D8" w:rsidRDefault="002A3D75" w:rsidP="0035774B">
            <w:pPr>
              <w:spacing w:after="120" w:line="276" w:lineRule="auto"/>
            </w:pPr>
            <w:r w:rsidRPr="006548D8">
              <w:t>Project Name</w:t>
            </w:r>
          </w:p>
        </w:tc>
        <w:tc>
          <w:tcPr>
            <w:tcW w:w="3159" w:type="dxa"/>
          </w:tcPr>
          <w:p w14:paraId="54118C8B" w14:textId="77777777" w:rsidR="002A3D75" w:rsidRPr="006548D8" w:rsidRDefault="002A3D75" w:rsidP="0035774B">
            <w:pPr>
              <w:spacing w:after="120" w:line="276" w:lineRule="auto"/>
            </w:pPr>
            <w:r w:rsidRPr="006548D8">
              <w:t>Description</w:t>
            </w:r>
          </w:p>
        </w:tc>
        <w:tc>
          <w:tcPr>
            <w:tcW w:w="1530" w:type="dxa"/>
          </w:tcPr>
          <w:p w14:paraId="40498C82" w14:textId="77777777" w:rsidR="002A3D75" w:rsidRPr="006548D8" w:rsidRDefault="002A3D75" w:rsidP="0035774B">
            <w:pPr>
              <w:spacing w:after="120" w:line="276" w:lineRule="auto"/>
            </w:pPr>
            <w:r w:rsidRPr="006548D8">
              <w:t>Project Address</w:t>
            </w:r>
          </w:p>
        </w:tc>
        <w:tc>
          <w:tcPr>
            <w:tcW w:w="1800" w:type="dxa"/>
          </w:tcPr>
          <w:p w14:paraId="60A03EA0" w14:textId="77777777" w:rsidR="002A3D75" w:rsidRPr="006548D8" w:rsidRDefault="002A3D75" w:rsidP="0035774B">
            <w:pPr>
              <w:spacing w:after="120" w:line="276" w:lineRule="auto"/>
            </w:pPr>
            <w:r w:rsidRPr="006548D8">
              <w:t>Significant Drinking Water Threat</w:t>
            </w:r>
          </w:p>
        </w:tc>
      </w:tr>
      <w:tr w:rsidR="002A3D75" w14:paraId="739C3866" w14:textId="77777777" w:rsidTr="00F23A82">
        <w:trPr>
          <w:cantSplit/>
        </w:trPr>
        <w:tc>
          <w:tcPr>
            <w:tcW w:w="1324" w:type="dxa"/>
          </w:tcPr>
          <w:p w14:paraId="604C7E6E" w14:textId="77777777" w:rsidR="002A3D75" w:rsidRPr="006548D8" w:rsidRDefault="002A3D75" w:rsidP="0035774B">
            <w:pPr>
              <w:spacing w:after="120" w:line="276" w:lineRule="auto"/>
              <w:rPr>
                <w:b/>
                <w:bCs/>
              </w:rPr>
            </w:pPr>
            <w:r w:rsidRPr="006548D8">
              <w:rPr>
                <w:bCs/>
              </w:rPr>
              <w:t>2024-04</w:t>
            </w:r>
          </w:p>
        </w:tc>
        <w:tc>
          <w:tcPr>
            <w:tcW w:w="2285" w:type="dxa"/>
          </w:tcPr>
          <w:p w14:paraId="719B2DC8" w14:textId="77777777" w:rsidR="002A3D75" w:rsidRPr="006548D8" w:rsidRDefault="002A3D75" w:rsidP="0035774B">
            <w:pPr>
              <w:spacing w:after="120" w:line="276" w:lineRule="auto"/>
              <w:rPr>
                <w:b/>
                <w:bCs/>
              </w:rPr>
            </w:pPr>
            <w:r w:rsidRPr="006548D8">
              <w:rPr>
                <w:bCs/>
              </w:rPr>
              <w:t>iPort Cambridge</w:t>
            </w:r>
          </w:p>
        </w:tc>
        <w:tc>
          <w:tcPr>
            <w:tcW w:w="3159" w:type="dxa"/>
          </w:tcPr>
          <w:p w14:paraId="69383A1B" w14:textId="77777777" w:rsidR="002A3D75" w:rsidRPr="006548D8" w:rsidRDefault="002A3D75" w:rsidP="0035774B">
            <w:pPr>
              <w:spacing w:after="120" w:line="276" w:lineRule="auto"/>
              <w:rPr>
                <w:b/>
                <w:bCs/>
              </w:rPr>
            </w:pPr>
            <w:r w:rsidRPr="006548D8">
              <w:rPr>
                <w:bCs/>
              </w:rPr>
              <w:t>This ECA application is intended to amend the approved ECA to include the SWM corridor/linear pond located to the east of Intermarket Road</w:t>
            </w:r>
          </w:p>
        </w:tc>
        <w:tc>
          <w:tcPr>
            <w:tcW w:w="1530" w:type="dxa"/>
          </w:tcPr>
          <w:p w14:paraId="2D19FFBE" w14:textId="77777777" w:rsidR="002A3D75" w:rsidRPr="006548D8" w:rsidRDefault="002A3D75" w:rsidP="0035774B">
            <w:pPr>
              <w:spacing w:after="120" w:line="276" w:lineRule="auto"/>
              <w:rPr>
                <w:b/>
                <w:bCs/>
              </w:rPr>
            </w:pPr>
            <w:r w:rsidRPr="006548D8">
              <w:rPr>
                <w:bCs/>
              </w:rPr>
              <w:t>250 Allendale Road</w:t>
            </w:r>
          </w:p>
        </w:tc>
        <w:tc>
          <w:tcPr>
            <w:tcW w:w="1800" w:type="dxa"/>
          </w:tcPr>
          <w:p w14:paraId="5974DF02" w14:textId="77777777" w:rsidR="002A3D75" w:rsidRPr="006548D8" w:rsidRDefault="002A3D75" w:rsidP="0035774B">
            <w:pPr>
              <w:spacing w:after="120" w:line="276" w:lineRule="auto"/>
              <w:rPr>
                <w:b/>
                <w:bCs/>
                <w:highlight w:val="yellow"/>
              </w:rPr>
            </w:pPr>
            <w:r w:rsidRPr="006548D8">
              <w:rPr>
                <w:bCs/>
              </w:rPr>
              <w:t>No</w:t>
            </w:r>
          </w:p>
        </w:tc>
      </w:tr>
      <w:tr w:rsidR="002A3D75" w14:paraId="2E3A85FD" w14:textId="77777777" w:rsidTr="00F23A82">
        <w:trPr>
          <w:cantSplit/>
        </w:trPr>
        <w:tc>
          <w:tcPr>
            <w:tcW w:w="1324" w:type="dxa"/>
          </w:tcPr>
          <w:p w14:paraId="4B2C97BE" w14:textId="77777777" w:rsidR="002A3D75" w:rsidRPr="006548D8" w:rsidRDefault="002A3D75" w:rsidP="0035774B">
            <w:pPr>
              <w:spacing w:after="120" w:line="276" w:lineRule="auto"/>
              <w:rPr>
                <w:b/>
                <w:bCs/>
              </w:rPr>
            </w:pPr>
            <w:r w:rsidRPr="006548D8">
              <w:rPr>
                <w:bCs/>
              </w:rPr>
              <w:t>2024-09</w:t>
            </w:r>
          </w:p>
        </w:tc>
        <w:tc>
          <w:tcPr>
            <w:tcW w:w="2285" w:type="dxa"/>
            <w:tcBorders>
              <w:top w:val="single" w:sz="4" w:space="0" w:color="000000"/>
              <w:left w:val="single" w:sz="4" w:space="0" w:color="000000"/>
              <w:bottom w:val="nil"/>
              <w:right w:val="single" w:sz="4" w:space="0" w:color="000000"/>
            </w:tcBorders>
          </w:tcPr>
          <w:p w14:paraId="08C62314" w14:textId="77777777" w:rsidR="002A3D75" w:rsidRPr="006548D8" w:rsidRDefault="002A3D75" w:rsidP="0035774B">
            <w:pPr>
              <w:spacing w:after="120" w:line="276" w:lineRule="auto"/>
              <w:rPr>
                <w:rFonts w:cs="Arial"/>
                <w:b/>
                <w:bCs/>
                <w:szCs w:val="24"/>
              </w:rPr>
            </w:pPr>
            <w:r w:rsidRPr="006548D8">
              <w:rPr>
                <w:rFonts w:cs="Arial"/>
                <w:bCs/>
                <w:szCs w:val="24"/>
              </w:rPr>
              <w:t>Capital Project A-00997-40 – Cooper St Reconstruction</w:t>
            </w:r>
          </w:p>
        </w:tc>
        <w:tc>
          <w:tcPr>
            <w:tcW w:w="3159" w:type="dxa"/>
            <w:tcBorders>
              <w:top w:val="single" w:sz="4" w:space="0" w:color="000000"/>
              <w:left w:val="nil"/>
              <w:bottom w:val="nil"/>
              <w:right w:val="single" w:sz="4" w:space="0" w:color="000000"/>
            </w:tcBorders>
          </w:tcPr>
          <w:p w14:paraId="343C5B95" w14:textId="77777777" w:rsidR="002A3D75" w:rsidRPr="006548D8" w:rsidRDefault="002A3D75" w:rsidP="0035774B">
            <w:pPr>
              <w:spacing w:after="120" w:line="276" w:lineRule="auto"/>
              <w:rPr>
                <w:rFonts w:cs="Arial"/>
                <w:b/>
                <w:bCs/>
                <w:szCs w:val="24"/>
              </w:rPr>
            </w:pPr>
            <w:r w:rsidRPr="006548D8">
              <w:rPr>
                <w:rFonts w:cs="Arial"/>
                <w:bCs/>
                <w:szCs w:val="24"/>
              </w:rPr>
              <w:t xml:space="preserve">Full reconstruction of Cooper St. including the replacement of existing storm sewers. </w:t>
            </w:r>
          </w:p>
        </w:tc>
        <w:tc>
          <w:tcPr>
            <w:tcW w:w="1530" w:type="dxa"/>
            <w:tcBorders>
              <w:top w:val="single" w:sz="4" w:space="0" w:color="000000"/>
              <w:left w:val="nil"/>
              <w:bottom w:val="nil"/>
              <w:right w:val="single" w:sz="4" w:space="0" w:color="000000"/>
            </w:tcBorders>
          </w:tcPr>
          <w:p w14:paraId="0A922824" w14:textId="77777777" w:rsidR="002A3D75" w:rsidRPr="006548D8" w:rsidRDefault="002A3D75" w:rsidP="0035774B">
            <w:pPr>
              <w:spacing w:after="120" w:line="276" w:lineRule="auto"/>
              <w:rPr>
                <w:rFonts w:cs="Arial"/>
                <w:b/>
                <w:bCs/>
                <w:szCs w:val="24"/>
              </w:rPr>
            </w:pPr>
            <w:r w:rsidRPr="006548D8">
              <w:rPr>
                <w:rFonts w:cs="Arial"/>
                <w:bCs/>
                <w:szCs w:val="24"/>
              </w:rPr>
              <w:t>Cooper St</w:t>
            </w:r>
          </w:p>
        </w:tc>
        <w:tc>
          <w:tcPr>
            <w:tcW w:w="1800" w:type="dxa"/>
          </w:tcPr>
          <w:p w14:paraId="241AABB8" w14:textId="77777777" w:rsidR="002A3D75" w:rsidRPr="006548D8" w:rsidRDefault="002A3D75" w:rsidP="0035774B">
            <w:pPr>
              <w:spacing w:after="120" w:line="276" w:lineRule="auto"/>
              <w:rPr>
                <w:b/>
                <w:bCs/>
              </w:rPr>
            </w:pPr>
            <w:r w:rsidRPr="006548D8">
              <w:rPr>
                <w:bCs/>
              </w:rPr>
              <w:t>No</w:t>
            </w:r>
          </w:p>
        </w:tc>
      </w:tr>
      <w:tr w:rsidR="002A3D75" w:rsidRPr="00097ECA" w14:paraId="4BB14D9B" w14:textId="77777777" w:rsidTr="00F23A82">
        <w:trPr>
          <w:cantSplit/>
        </w:trPr>
        <w:tc>
          <w:tcPr>
            <w:tcW w:w="1324" w:type="dxa"/>
          </w:tcPr>
          <w:p w14:paraId="16331414" w14:textId="77777777" w:rsidR="002A3D75" w:rsidRPr="006548D8" w:rsidRDefault="002A3D75" w:rsidP="0035774B">
            <w:pPr>
              <w:spacing w:after="120" w:line="276" w:lineRule="auto"/>
              <w:rPr>
                <w:b/>
                <w:bCs/>
                <w:szCs w:val="24"/>
              </w:rPr>
            </w:pPr>
            <w:r w:rsidRPr="006548D8">
              <w:rPr>
                <w:bCs/>
                <w:szCs w:val="24"/>
              </w:rPr>
              <w:t>2025-01</w:t>
            </w:r>
          </w:p>
        </w:tc>
        <w:tc>
          <w:tcPr>
            <w:tcW w:w="2285" w:type="dxa"/>
          </w:tcPr>
          <w:p w14:paraId="4095FC96" w14:textId="77777777" w:rsidR="002A3D75" w:rsidRPr="006548D8" w:rsidRDefault="002A3D75" w:rsidP="0035774B">
            <w:pPr>
              <w:spacing w:after="120" w:line="276" w:lineRule="auto"/>
              <w:rPr>
                <w:rFonts w:cs="Arial"/>
                <w:b/>
                <w:bCs/>
                <w:szCs w:val="24"/>
              </w:rPr>
            </w:pPr>
            <w:r w:rsidRPr="006548D8">
              <w:rPr>
                <w:rFonts w:cs="Arial"/>
                <w:bCs/>
                <w:color w:val="000000"/>
                <w:szCs w:val="24"/>
              </w:rPr>
              <w:t>Model At Main Subdivision</w:t>
            </w:r>
          </w:p>
        </w:tc>
        <w:tc>
          <w:tcPr>
            <w:tcW w:w="3159" w:type="dxa"/>
          </w:tcPr>
          <w:p w14:paraId="5507DE9B" w14:textId="77777777" w:rsidR="002A3D75" w:rsidRPr="006548D8" w:rsidRDefault="002A3D75" w:rsidP="0035774B">
            <w:pPr>
              <w:spacing w:after="120" w:line="276" w:lineRule="auto"/>
              <w:rPr>
                <w:rFonts w:eastAsiaTheme="minorHAnsi" w:cs="Arial"/>
                <w:b/>
                <w:bCs/>
                <w:color w:val="000000"/>
                <w:szCs w:val="24"/>
              </w:rPr>
            </w:pPr>
            <w:r w:rsidRPr="006548D8">
              <w:rPr>
                <w:rFonts w:cs="Arial"/>
                <w:bCs/>
                <w:color w:val="000000"/>
                <w:szCs w:val="24"/>
              </w:rPr>
              <w:t>Addition of municipal storm sewers and stormwater management facility within Phase 1 of a new development subdivision.</w:t>
            </w:r>
          </w:p>
        </w:tc>
        <w:tc>
          <w:tcPr>
            <w:tcW w:w="1530" w:type="dxa"/>
          </w:tcPr>
          <w:p w14:paraId="29F3D187" w14:textId="77777777" w:rsidR="002A3D75" w:rsidRPr="006548D8" w:rsidRDefault="002A3D75" w:rsidP="0035774B">
            <w:pPr>
              <w:spacing w:after="120" w:line="276" w:lineRule="auto"/>
              <w:rPr>
                <w:rFonts w:cs="Arial"/>
                <w:b/>
                <w:bCs/>
                <w:color w:val="000000"/>
                <w:szCs w:val="24"/>
              </w:rPr>
            </w:pPr>
            <w:r w:rsidRPr="006548D8">
              <w:rPr>
                <w:rFonts w:cs="Arial"/>
                <w:bCs/>
                <w:color w:val="000000"/>
                <w:szCs w:val="24"/>
              </w:rPr>
              <w:t>840 &amp; 940 Main St E</w:t>
            </w:r>
          </w:p>
          <w:p w14:paraId="09B9ED21" w14:textId="77777777" w:rsidR="002A3D75" w:rsidRPr="006548D8" w:rsidRDefault="002A3D75" w:rsidP="0035774B">
            <w:pPr>
              <w:spacing w:after="120" w:line="276" w:lineRule="auto"/>
              <w:rPr>
                <w:rFonts w:cs="Arial"/>
                <w:b/>
                <w:bCs/>
                <w:szCs w:val="24"/>
              </w:rPr>
            </w:pPr>
            <w:r w:rsidRPr="006548D8">
              <w:rPr>
                <w:rFonts w:cs="Arial"/>
                <w:bCs/>
                <w:color w:val="000000"/>
                <w:szCs w:val="24"/>
              </w:rPr>
              <w:br/>
              <w:t>345 Franklin Blvd</w:t>
            </w:r>
          </w:p>
        </w:tc>
        <w:tc>
          <w:tcPr>
            <w:tcW w:w="1800" w:type="dxa"/>
          </w:tcPr>
          <w:p w14:paraId="3CCAD099" w14:textId="77777777" w:rsidR="002A3D75" w:rsidRPr="006548D8" w:rsidRDefault="002A3D75" w:rsidP="0035774B">
            <w:pPr>
              <w:spacing w:after="120" w:line="276" w:lineRule="auto"/>
              <w:rPr>
                <w:b/>
                <w:bCs/>
                <w:szCs w:val="24"/>
              </w:rPr>
            </w:pPr>
            <w:r w:rsidRPr="006548D8">
              <w:rPr>
                <w:bCs/>
                <w:szCs w:val="24"/>
              </w:rPr>
              <w:t>No</w:t>
            </w:r>
          </w:p>
        </w:tc>
      </w:tr>
      <w:tr w:rsidR="002A3D75" w:rsidRPr="00097ECA" w14:paraId="2D429DF7" w14:textId="77777777" w:rsidTr="00F23A82">
        <w:trPr>
          <w:cantSplit/>
        </w:trPr>
        <w:tc>
          <w:tcPr>
            <w:tcW w:w="1324" w:type="dxa"/>
          </w:tcPr>
          <w:p w14:paraId="6BFB0CD8" w14:textId="77777777" w:rsidR="002A3D75" w:rsidRPr="006548D8" w:rsidRDefault="002A3D75" w:rsidP="0035774B">
            <w:pPr>
              <w:spacing w:after="120" w:line="276" w:lineRule="auto"/>
              <w:rPr>
                <w:b/>
                <w:bCs/>
                <w:szCs w:val="24"/>
              </w:rPr>
            </w:pPr>
            <w:r w:rsidRPr="006548D8">
              <w:rPr>
                <w:bCs/>
                <w:szCs w:val="24"/>
              </w:rPr>
              <w:t>2025-02</w:t>
            </w:r>
          </w:p>
        </w:tc>
        <w:tc>
          <w:tcPr>
            <w:tcW w:w="2285" w:type="dxa"/>
          </w:tcPr>
          <w:p w14:paraId="1928BCFF" w14:textId="77777777" w:rsidR="002A3D75" w:rsidRPr="006548D8" w:rsidRDefault="002A3D75" w:rsidP="0035774B">
            <w:pPr>
              <w:spacing w:after="120" w:line="276" w:lineRule="auto"/>
              <w:rPr>
                <w:rFonts w:cs="Arial"/>
                <w:b/>
                <w:bCs/>
                <w:szCs w:val="24"/>
              </w:rPr>
            </w:pPr>
            <w:r w:rsidRPr="006548D8">
              <w:rPr>
                <w:rFonts w:cs="Arial"/>
                <w:bCs/>
                <w:color w:val="000000"/>
                <w:szCs w:val="24"/>
              </w:rPr>
              <w:t>River Mill Phase 5</w:t>
            </w:r>
          </w:p>
        </w:tc>
        <w:tc>
          <w:tcPr>
            <w:tcW w:w="3159" w:type="dxa"/>
          </w:tcPr>
          <w:p w14:paraId="4AE7464C" w14:textId="77777777" w:rsidR="002A3D75" w:rsidRPr="006548D8" w:rsidRDefault="002A3D75" w:rsidP="0035774B">
            <w:pPr>
              <w:spacing w:after="120" w:line="276" w:lineRule="auto"/>
              <w:rPr>
                <w:rFonts w:cs="Arial"/>
                <w:b/>
                <w:bCs/>
                <w:szCs w:val="24"/>
              </w:rPr>
            </w:pPr>
            <w:r w:rsidRPr="006548D8">
              <w:rPr>
                <w:rFonts w:cs="Arial"/>
                <w:bCs/>
                <w:color w:val="000000"/>
                <w:szCs w:val="24"/>
              </w:rPr>
              <w:t>Storm sewers on Briardean Road (From approximately 70 meters south of Maple Grove Road to approximately the middle of Pointer Street).</w:t>
            </w:r>
          </w:p>
        </w:tc>
        <w:tc>
          <w:tcPr>
            <w:tcW w:w="1530" w:type="dxa"/>
          </w:tcPr>
          <w:p w14:paraId="2580AC46" w14:textId="77777777" w:rsidR="002A3D75" w:rsidRPr="006548D8" w:rsidRDefault="002A3D75" w:rsidP="0035774B">
            <w:pPr>
              <w:spacing w:after="120" w:line="276" w:lineRule="auto"/>
              <w:rPr>
                <w:rFonts w:cs="Arial"/>
                <w:b/>
                <w:bCs/>
                <w:szCs w:val="24"/>
              </w:rPr>
            </w:pPr>
            <w:r w:rsidRPr="006548D8">
              <w:rPr>
                <w:rFonts w:cs="Arial"/>
                <w:bCs/>
                <w:color w:val="000000"/>
                <w:szCs w:val="24"/>
              </w:rPr>
              <w:t xml:space="preserve">800-875 Briardean Road </w:t>
            </w:r>
          </w:p>
        </w:tc>
        <w:tc>
          <w:tcPr>
            <w:tcW w:w="1800" w:type="dxa"/>
          </w:tcPr>
          <w:p w14:paraId="545DCB07" w14:textId="77777777" w:rsidR="002A3D75" w:rsidRPr="006548D8" w:rsidRDefault="002A3D75" w:rsidP="0035774B">
            <w:pPr>
              <w:spacing w:after="120" w:line="276" w:lineRule="auto"/>
              <w:rPr>
                <w:b/>
                <w:bCs/>
                <w:szCs w:val="24"/>
              </w:rPr>
            </w:pPr>
            <w:r w:rsidRPr="006548D8">
              <w:rPr>
                <w:bCs/>
                <w:szCs w:val="24"/>
              </w:rPr>
              <w:t>No</w:t>
            </w:r>
          </w:p>
        </w:tc>
      </w:tr>
      <w:tr w:rsidR="002A3D75" w:rsidRPr="00097ECA" w14:paraId="2F36DFAC" w14:textId="77777777" w:rsidTr="00F23A82">
        <w:trPr>
          <w:cantSplit/>
        </w:trPr>
        <w:tc>
          <w:tcPr>
            <w:tcW w:w="1324" w:type="dxa"/>
          </w:tcPr>
          <w:p w14:paraId="6FB2DF13" w14:textId="77777777" w:rsidR="002A3D75" w:rsidRPr="006548D8" w:rsidRDefault="002A3D75" w:rsidP="0035774B">
            <w:pPr>
              <w:spacing w:after="120" w:line="276" w:lineRule="auto"/>
              <w:rPr>
                <w:b/>
                <w:bCs/>
                <w:szCs w:val="24"/>
              </w:rPr>
            </w:pPr>
            <w:r w:rsidRPr="006548D8">
              <w:rPr>
                <w:bCs/>
                <w:szCs w:val="24"/>
              </w:rPr>
              <w:lastRenderedPageBreak/>
              <w:t>2025-03</w:t>
            </w:r>
          </w:p>
        </w:tc>
        <w:tc>
          <w:tcPr>
            <w:tcW w:w="2285" w:type="dxa"/>
          </w:tcPr>
          <w:p w14:paraId="3C24CDA5" w14:textId="77777777" w:rsidR="002A3D75" w:rsidRPr="006548D8" w:rsidRDefault="002A3D75" w:rsidP="0035774B">
            <w:pPr>
              <w:spacing w:after="120" w:line="276" w:lineRule="auto"/>
              <w:rPr>
                <w:rFonts w:cs="Arial"/>
                <w:b/>
                <w:bCs/>
                <w:szCs w:val="24"/>
              </w:rPr>
            </w:pPr>
            <w:r w:rsidRPr="006548D8">
              <w:rPr>
                <w:rFonts w:cs="Arial"/>
                <w:bCs/>
                <w:color w:val="000000"/>
                <w:szCs w:val="24"/>
              </w:rPr>
              <w:t>Capital Project A-00542-30 - Queen St W Reconstruction</w:t>
            </w:r>
          </w:p>
        </w:tc>
        <w:tc>
          <w:tcPr>
            <w:tcW w:w="3159" w:type="dxa"/>
          </w:tcPr>
          <w:p w14:paraId="6AF20296" w14:textId="77777777" w:rsidR="002A3D75" w:rsidRPr="006548D8" w:rsidRDefault="002A3D75" w:rsidP="0035774B">
            <w:pPr>
              <w:spacing w:after="120" w:line="276" w:lineRule="auto"/>
              <w:rPr>
                <w:rFonts w:cs="Arial"/>
                <w:b/>
                <w:bCs/>
                <w:szCs w:val="24"/>
              </w:rPr>
            </w:pPr>
            <w:r w:rsidRPr="006548D8">
              <w:rPr>
                <w:rFonts w:cs="Arial"/>
                <w:bCs/>
                <w:color w:val="000000"/>
                <w:szCs w:val="24"/>
              </w:rPr>
              <w:t>The project includes replacement of underground storm sewers and structures along with full road reconstruction. Existing 250mm - 450mm diameter concrete storm sewer and existing maintenance holes and catchbasins to be replaced with new 250mm - 450mm diameter PVC storm sewer along with new maintenance holes and new catchbasins</w:t>
            </w:r>
          </w:p>
        </w:tc>
        <w:tc>
          <w:tcPr>
            <w:tcW w:w="1530" w:type="dxa"/>
          </w:tcPr>
          <w:p w14:paraId="615A37EA" w14:textId="77777777" w:rsidR="002A3D75" w:rsidRPr="006548D8" w:rsidRDefault="002A3D75" w:rsidP="0035774B">
            <w:pPr>
              <w:spacing w:after="120" w:line="276" w:lineRule="auto"/>
              <w:rPr>
                <w:rFonts w:cs="Arial"/>
                <w:b/>
                <w:bCs/>
                <w:szCs w:val="24"/>
              </w:rPr>
            </w:pPr>
            <w:r w:rsidRPr="006548D8">
              <w:rPr>
                <w:rFonts w:cs="Arial"/>
                <w:bCs/>
                <w:color w:val="000000"/>
                <w:szCs w:val="24"/>
              </w:rPr>
              <w:t>Queen St. W</w:t>
            </w:r>
          </w:p>
        </w:tc>
        <w:tc>
          <w:tcPr>
            <w:tcW w:w="1800" w:type="dxa"/>
          </w:tcPr>
          <w:p w14:paraId="5D1FFCEC" w14:textId="77777777" w:rsidR="002A3D75" w:rsidRPr="006548D8" w:rsidRDefault="002A3D75" w:rsidP="0035774B">
            <w:pPr>
              <w:spacing w:after="120" w:line="276" w:lineRule="auto"/>
              <w:rPr>
                <w:b/>
                <w:bCs/>
                <w:szCs w:val="24"/>
              </w:rPr>
            </w:pPr>
            <w:r w:rsidRPr="006548D8">
              <w:rPr>
                <w:bCs/>
                <w:szCs w:val="24"/>
              </w:rPr>
              <w:t>No</w:t>
            </w:r>
          </w:p>
        </w:tc>
      </w:tr>
      <w:tr w:rsidR="002A3D75" w:rsidRPr="00097ECA" w14:paraId="51DDCB57" w14:textId="77777777" w:rsidTr="00F23A82">
        <w:trPr>
          <w:cantSplit/>
        </w:trPr>
        <w:tc>
          <w:tcPr>
            <w:tcW w:w="1324" w:type="dxa"/>
          </w:tcPr>
          <w:p w14:paraId="672F9F93" w14:textId="77777777" w:rsidR="002A3D75" w:rsidRPr="006548D8" w:rsidRDefault="002A3D75" w:rsidP="0035774B">
            <w:pPr>
              <w:spacing w:after="120" w:line="276" w:lineRule="auto"/>
              <w:rPr>
                <w:b/>
                <w:bCs/>
                <w:szCs w:val="24"/>
              </w:rPr>
            </w:pPr>
            <w:r w:rsidRPr="006548D8">
              <w:rPr>
                <w:bCs/>
                <w:szCs w:val="24"/>
              </w:rPr>
              <w:t>2025-04</w:t>
            </w:r>
          </w:p>
        </w:tc>
        <w:tc>
          <w:tcPr>
            <w:tcW w:w="2285" w:type="dxa"/>
          </w:tcPr>
          <w:p w14:paraId="2909BF4B" w14:textId="77777777" w:rsidR="002A3D75" w:rsidRPr="006548D8" w:rsidRDefault="002A3D75" w:rsidP="0035774B">
            <w:pPr>
              <w:spacing w:after="120" w:line="276" w:lineRule="auto"/>
              <w:rPr>
                <w:rFonts w:cs="Arial"/>
                <w:b/>
                <w:bCs/>
                <w:szCs w:val="24"/>
              </w:rPr>
            </w:pPr>
            <w:r w:rsidRPr="006548D8">
              <w:rPr>
                <w:rFonts w:cs="Arial"/>
                <w:bCs/>
                <w:color w:val="000000"/>
                <w:szCs w:val="24"/>
              </w:rPr>
              <w:t>Upper Green Gate Subdivision</w:t>
            </w:r>
          </w:p>
        </w:tc>
        <w:tc>
          <w:tcPr>
            <w:tcW w:w="3159" w:type="dxa"/>
          </w:tcPr>
          <w:p w14:paraId="75FC6181" w14:textId="77777777" w:rsidR="002A3D75" w:rsidRPr="006548D8" w:rsidRDefault="002A3D75" w:rsidP="0035774B">
            <w:pPr>
              <w:spacing w:after="120" w:line="276" w:lineRule="auto"/>
              <w:rPr>
                <w:rFonts w:cs="Arial"/>
                <w:b/>
                <w:bCs/>
                <w:szCs w:val="24"/>
              </w:rPr>
            </w:pPr>
            <w:r w:rsidRPr="006548D8">
              <w:rPr>
                <w:rFonts w:cs="Arial"/>
                <w:bCs/>
                <w:color w:val="000000"/>
                <w:szCs w:val="24"/>
              </w:rPr>
              <w:t>Addition of municipal storm sewers within a new development subdivision.</w:t>
            </w:r>
          </w:p>
        </w:tc>
        <w:tc>
          <w:tcPr>
            <w:tcW w:w="1530" w:type="dxa"/>
          </w:tcPr>
          <w:p w14:paraId="6E359A15" w14:textId="77777777" w:rsidR="002A3D75" w:rsidRPr="006548D8" w:rsidRDefault="002A3D75" w:rsidP="0035774B">
            <w:pPr>
              <w:spacing w:after="120" w:line="276" w:lineRule="auto"/>
              <w:rPr>
                <w:rFonts w:cs="Arial"/>
                <w:b/>
                <w:bCs/>
                <w:szCs w:val="24"/>
              </w:rPr>
            </w:pPr>
            <w:r w:rsidRPr="006548D8">
              <w:rPr>
                <w:rFonts w:cs="Arial"/>
                <w:bCs/>
                <w:color w:val="000000"/>
                <w:szCs w:val="24"/>
              </w:rPr>
              <w:t>1005 Main St East</w:t>
            </w:r>
          </w:p>
        </w:tc>
        <w:tc>
          <w:tcPr>
            <w:tcW w:w="1800" w:type="dxa"/>
          </w:tcPr>
          <w:p w14:paraId="1964FA2A" w14:textId="77777777" w:rsidR="002A3D75" w:rsidRPr="006548D8" w:rsidRDefault="002A3D75" w:rsidP="0035774B">
            <w:pPr>
              <w:spacing w:after="120" w:line="276" w:lineRule="auto"/>
              <w:rPr>
                <w:b/>
                <w:bCs/>
                <w:szCs w:val="24"/>
              </w:rPr>
            </w:pPr>
            <w:r w:rsidRPr="006548D8">
              <w:rPr>
                <w:bCs/>
                <w:szCs w:val="24"/>
              </w:rPr>
              <w:t>No</w:t>
            </w:r>
          </w:p>
        </w:tc>
      </w:tr>
    </w:tbl>
    <w:p w14:paraId="44CE9748" w14:textId="77777777" w:rsidR="002A3D75" w:rsidRPr="00097ECA" w:rsidRDefault="002A3D75" w:rsidP="002A3D75">
      <w:pPr>
        <w:rPr>
          <w:szCs w:val="24"/>
        </w:rPr>
      </w:pPr>
    </w:p>
    <w:p w14:paraId="448E745B" w14:textId="7F4528B2" w:rsidR="002A3D75" w:rsidRPr="00F23A82" w:rsidRDefault="002A3D75" w:rsidP="002A3D75">
      <w:pPr>
        <w:rPr>
          <w:rFonts w:cs="Arial"/>
          <w:b/>
          <w:color w:val="000000"/>
          <w:szCs w:val="24"/>
        </w:rPr>
      </w:pPr>
      <w:r w:rsidRPr="00F23A82">
        <w:rPr>
          <w:rFonts w:cs="Arial"/>
          <w:b/>
          <w:szCs w:val="24"/>
        </w:rPr>
        <w:t>Spills</w:t>
      </w:r>
    </w:p>
    <w:p w14:paraId="2812A0AD" w14:textId="2D89F620" w:rsidR="002D3830" w:rsidRDefault="002A3D75" w:rsidP="002A3D75">
      <w:r w:rsidRPr="006548D8">
        <w:t xml:space="preserve">The City engaged in 49 Environmental Spill investigations in 2025, with an estimated cost of $21,079 in City staffing and equipment, compared to 50 spills costing $26,882 in 2024. Environmental Services was able to locate and invoice culpable parties on 12 spill investigations, recouping roughly $8,474 (40%) of the City’s Spill’s expenditures. The City dealt with a diverse range of spills including various oil/gas-based substances, soap-based chemicals, and both public and private sewage overflows. A list of 2025 sewage overflow, providing Spills Action Centre (SAC) reference numbers, can be seen in </w:t>
      </w:r>
      <w:r w:rsidRPr="00F679F5">
        <w:rPr>
          <w:b/>
        </w:rPr>
        <w:t>Figure 10</w:t>
      </w:r>
      <w:r w:rsidRPr="006548D8">
        <w:t>.</w:t>
      </w:r>
      <w:r w:rsidR="002D3830">
        <w:br w:type="page"/>
      </w:r>
    </w:p>
    <w:p w14:paraId="6DAAC99D" w14:textId="6F38C5FC" w:rsidR="002A3D75" w:rsidRPr="00F679F5" w:rsidRDefault="002A3D75" w:rsidP="002A3D75">
      <w:pPr>
        <w:jc w:val="center"/>
        <w:rPr>
          <w:b/>
        </w:rPr>
      </w:pPr>
      <w:r w:rsidRPr="00F679F5">
        <w:rPr>
          <w:b/>
        </w:rPr>
        <w:lastRenderedPageBreak/>
        <w:t>Figure 10 – 2025 Sewage Overflows</w:t>
      </w:r>
    </w:p>
    <w:tbl>
      <w:tblPr>
        <w:tblStyle w:val="TableGrid"/>
        <w:tblW w:w="10098" w:type="dxa"/>
        <w:tblLook w:val="04A0" w:firstRow="1" w:lastRow="0" w:firstColumn="1" w:lastColumn="0" w:noHBand="0" w:noVBand="1"/>
        <w:tblCaption w:val="2025 Sewage Overflows"/>
        <w:tblDescription w:val="Details of spill events that have occured through the City in 2025."/>
      </w:tblPr>
      <w:tblGrid>
        <w:gridCol w:w="355"/>
        <w:gridCol w:w="1530"/>
        <w:gridCol w:w="1530"/>
        <w:gridCol w:w="2880"/>
        <w:gridCol w:w="3803"/>
      </w:tblGrid>
      <w:tr w:rsidR="002A3D75" w14:paraId="5831023E" w14:textId="77777777" w:rsidTr="00F679F5">
        <w:trPr>
          <w:cantSplit/>
          <w:tblHeader/>
        </w:trPr>
        <w:tc>
          <w:tcPr>
            <w:tcW w:w="355" w:type="dxa"/>
          </w:tcPr>
          <w:p w14:paraId="4C0571CA" w14:textId="77777777" w:rsidR="002A3D75" w:rsidRPr="006548D8" w:rsidRDefault="002A3D75" w:rsidP="0035774B">
            <w:pPr>
              <w:spacing w:after="200" w:line="276" w:lineRule="auto"/>
            </w:pPr>
            <w:r w:rsidRPr="006548D8">
              <w:t>#</w:t>
            </w:r>
          </w:p>
        </w:tc>
        <w:tc>
          <w:tcPr>
            <w:tcW w:w="1530" w:type="dxa"/>
          </w:tcPr>
          <w:p w14:paraId="07EB1FA3" w14:textId="77777777" w:rsidR="002A3D75" w:rsidRPr="006548D8" w:rsidRDefault="002A3D75" w:rsidP="0035774B">
            <w:pPr>
              <w:spacing w:after="200" w:line="276" w:lineRule="auto"/>
            </w:pPr>
            <w:r w:rsidRPr="006548D8">
              <w:t>Date</w:t>
            </w:r>
          </w:p>
        </w:tc>
        <w:tc>
          <w:tcPr>
            <w:tcW w:w="1530" w:type="dxa"/>
          </w:tcPr>
          <w:p w14:paraId="62296E1B" w14:textId="77777777" w:rsidR="002A3D75" w:rsidRPr="006548D8" w:rsidRDefault="002A3D75" w:rsidP="0035774B">
            <w:pPr>
              <w:spacing w:after="200" w:line="276" w:lineRule="auto"/>
            </w:pPr>
            <w:r w:rsidRPr="006548D8">
              <w:t>Location</w:t>
            </w:r>
          </w:p>
        </w:tc>
        <w:tc>
          <w:tcPr>
            <w:tcW w:w="2880" w:type="dxa"/>
          </w:tcPr>
          <w:p w14:paraId="6A71DCFE" w14:textId="77777777" w:rsidR="002A3D75" w:rsidRPr="006548D8" w:rsidRDefault="002A3D75" w:rsidP="0035774B">
            <w:pPr>
              <w:spacing w:after="200" w:line="276" w:lineRule="auto"/>
            </w:pPr>
            <w:r w:rsidRPr="006548D8">
              <w:t>Description of Spill Event</w:t>
            </w:r>
          </w:p>
        </w:tc>
        <w:tc>
          <w:tcPr>
            <w:tcW w:w="3803" w:type="dxa"/>
          </w:tcPr>
          <w:p w14:paraId="2D37FEA6" w14:textId="77777777" w:rsidR="002A3D75" w:rsidRPr="006548D8" w:rsidRDefault="002A3D75" w:rsidP="0035774B">
            <w:pPr>
              <w:spacing w:after="200" w:line="276" w:lineRule="auto"/>
            </w:pPr>
            <w:r w:rsidRPr="006548D8">
              <w:t>Actions Taken</w:t>
            </w:r>
          </w:p>
        </w:tc>
      </w:tr>
      <w:tr w:rsidR="002A3D75" w14:paraId="17977C36" w14:textId="77777777" w:rsidTr="00F679F5">
        <w:trPr>
          <w:cantSplit/>
        </w:trPr>
        <w:tc>
          <w:tcPr>
            <w:tcW w:w="355" w:type="dxa"/>
          </w:tcPr>
          <w:p w14:paraId="6B2FD97D" w14:textId="77777777" w:rsidR="002A3D75" w:rsidRPr="006548D8" w:rsidRDefault="002A3D75" w:rsidP="0035774B">
            <w:pPr>
              <w:spacing w:after="200" w:line="276" w:lineRule="auto"/>
            </w:pPr>
            <w:r w:rsidRPr="006548D8">
              <w:t>1</w:t>
            </w:r>
          </w:p>
        </w:tc>
        <w:tc>
          <w:tcPr>
            <w:tcW w:w="1530" w:type="dxa"/>
          </w:tcPr>
          <w:p w14:paraId="25B78FDD" w14:textId="77777777" w:rsidR="002A3D75" w:rsidRPr="006548D8" w:rsidRDefault="002A3D75" w:rsidP="0035774B">
            <w:pPr>
              <w:spacing w:after="200" w:line="276" w:lineRule="auto"/>
              <w:rPr>
                <w:b/>
                <w:bCs/>
              </w:rPr>
            </w:pPr>
            <w:r w:rsidRPr="006548D8">
              <w:rPr>
                <w:bCs/>
              </w:rPr>
              <w:t>2025-03-02</w:t>
            </w:r>
          </w:p>
        </w:tc>
        <w:tc>
          <w:tcPr>
            <w:tcW w:w="1530" w:type="dxa"/>
          </w:tcPr>
          <w:p w14:paraId="0E16EA14" w14:textId="77777777" w:rsidR="002A3D75" w:rsidRPr="006548D8" w:rsidRDefault="002A3D75" w:rsidP="0035774B">
            <w:pPr>
              <w:spacing w:after="200" w:line="276" w:lineRule="auto"/>
              <w:rPr>
                <w:b/>
                <w:bCs/>
              </w:rPr>
            </w:pPr>
            <w:r w:rsidRPr="006548D8">
              <w:rPr>
                <w:bCs/>
              </w:rPr>
              <w:t>200 Franklin St</w:t>
            </w:r>
          </w:p>
        </w:tc>
        <w:tc>
          <w:tcPr>
            <w:tcW w:w="2880" w:type="dxa"/>
          </w:tcPr>
          <w:p w14:paraId="201EBE1C" w14:textId="77777777" w:rsidR="002A3D75" w:rsidRPr="006548D8" w:rsidRDefault="002A3D75" w:rsidP="0035774B">
            <w:pPr>
              <w:spacing w:after="200" w:line="276" w:lineRule="auto"/>
              <w:rPr>
                <w:b/>
                <w:bCs/>
              </w:rPr>
            </w:pPr>
            <w:r w:rsidRPr="006548D8">
              <w:rPr>
                <w:bCs/>
              </w:rPr>
              <w:t>SAC: 1-132FER</w:t>
            </w:r>
          </w:p>
          <w:p w14:paraId="566FFE87" w14:textId="77777777" w:rsidR="002A3D75" w:rsidRPr="006548D8" w:rsidRDefault="002A3D75" w:rsidP="0035774B">
            <w:pPr>
              <w:spacing w:after="200" w:line="276" w:lineRule="auto"/>
              <w:rPr>
                <w:b/>
                <w:bCs/>
              </w:rPr>
            </w:pPr>
            <w:r w:rsidRPr="006548D8">
              <w:rPr>
                <w:bCs/>
              </w:rPr>
              <w:t>Volume: &lt;100 L</w:t>
            </w:r>
          </w:p>
          <w:p w14:paraId="21847063" w14:textId="77777777" w:rsidR="002A3D75" w:rsidRPr="006548D8" w:rsidRDefault="002A3D75" w:rsidP="0035774B">
            <w:pPr>
              <w:spacing w:after="200" w:line="276" w:lineRule="auto"/>
              <w:rPr>
                <w:b/>
                <w:bCs/>
              </w:rPr>
            </w:pPr>
            <w:r w:rsidRPr="006548D8">
              <w:rPr>
                <w:bCs/>
              </w:rPr>
              <w:t xml:space="preserve">A sanitary main block in a parking lot surcharged sewage into adjacent stormwater infrastructure. </w:t>
            </w:r>
          </w:p>
        </w:tc>
        <w:tc>
          <w:tcPr>
            <w:tcW w:w="3803" w:type="dxa"/>
          </w:tcPr>
          <w:p w14:paraId="70D85CA7" w14:textId="77777777" w:rsidR="002A3D75" w:rsidRPr="006548D8" w:rsidRDefault="002A3D75" w:rsidP="0035774B">
            <w:pPr>
              <w:spacing w:after="200" w:line="276" w:lineRule="auto"/>
              <w:rPr>
                <w:b/>
                <w:bCs/>
              </w:rPr>
            </w:pPr>
            <w:r w:rsidRPr="006548D8">
              <w:rPr>
                <w:bCs/>
              </w:rPr>
              <w:t>The City hydrovaced the effected maintenance hole to relieve the block.</w:t>
            </w:r>
          </w:p>
          <w:p w14:paraId="376778F1" w14:textId="77777777" w:rsidR="002A3D75" w:rsidRPr="006548D8" w:rsidRDefault="002A3D75" w:rsidP="0035774B">
            <w:pPr>
              <w:spacing w:after="200" w:line="276" w:lineRule="auto"/>
              <w:rPr>
                <w:b/>
                <w:bCs/>
              </w:rPr>
            </w:pPr>
            <w:r w:rsidRPr="006548D8">
              <w:rPr>
                <w:bCs/>
              </w:rPr>
              <w:t>The adjacent stormwater infrastructure and surface level discharge was hydrovaced, clearing all sewage from the affected areas.</w:t>
            </w:r>
          </w:p>
        </w:tc>
      </w:tr>
      <w:tr w:rsidR="002A3D75" w14:paraId="3B08A8B1" w14:textId="77777777" w:rsidTr="00F679F5">
        <w:trPr>
          <w:cantSplit/>
        </w:trPr>
        <w:tc>
          <w:tcPr>
            <w:tcW w:w="355" w:type="dxa"/>
          </w:tcPr>
          <w:p w14:paraId="2984E21C" w14:textId="77777777" w:rsidR="002A3D75" w:rsidRPr="006548D8" w:rsidRDefault="002A3D75" w:rsidP="0035774B">
            <w:pPr>
              <w:spacing w:after="200" w:line="276" w:lineRule="auto"/>
            </w:pPr>
            <w:r w:rsidRPr="006548D8">
              <w:t>2</w:t>
            </w:r>
          </w:p>
        </w:tc>
        <w:tc>
          <w:tcPr>
            <w:tcW w:w="1530" w:type="dxa"/>
          </w:tcPr>
          <w:p w14:paraId="69E31261" w14:textId="77777777" w:rsidR="002A3D75" w:rsidRPr="006548D8" w:rsidRDefault="002A3D75" w:rsidP="0035774B">
            <w:pPr>
              <w:spacing w:after="200" w:line="276" w:lineRule="auto"/>
              <w:rPr>
                <w:b/>
                <w:bCs/>
              </w:rPr>
            </w:pPr>
            <w:r w:rsidRPr="006548D8">
              <w:rPr>
                <w:bCs/>
              </w:rPr>
              <w:t>2025-03-12</w:t>
            </w:r>
          </w:p>
        </w:tc>
        <w:tc>
          <w:tcPr>
            <w:tcW w:w="1530" w:type="dxa"/>
          </w:tcPr>
          <w:p w14:paraId="4744F4A5" w14:textId="77777777" w:rsidR="002A3D75" w:rsidRPr="006548D8" w:rsidRDefault="002A3D75" w:rsidP="0035774B">
            <w:pPr>
              <w:spacing w:after="200" w:line="276" w:lineRule="auto"/>
              <w:rPr>
                <w:b/>
                <w:bCs/>
              </w:rPr>
            </w:pPr>
            <w:r w:rsidRPr="006548D8">
              <w:rPr>
                <w:bCs/>
              </w:rPr>
              <w:t>166 Grand Ridge Dr</w:t>
            </w:r>
          </w:p>
        </w:tc>
        <w:tc>
          <w:tcPr>
            <w:tcW w:w="2880" w:type="dxa"/>
          </w:tcPr>
          <w:p w14:paraId="3B6A3CE0" w14:textId="77777777" w:rsidR="002A3D75" w:rsidRPr="006548D8" w:rsidRDefault="002A3D75" w:rsidP="0035774B">
            <w:pPr>
              <w:spacing w:after="200" w:line="276" w:lineRule="auto"/>
              <w:rPr>
                <w:b/>
                <w:bCs/>
              </w:rPr>
            </w:pPr>
            <w:r w:rsidRPr="006548D8">
              <w:rPr>
                <w:bCs/>
              </w:rPr>
              <w:t>SAC: 1-IT9LD1</w:t>
            </w:r>
          </w:p>
          <w:p w14:paraId="75AE3C88" w14:textId="77777777" w:rsidR="002A3D75" w:rsidRPr="006548D8" w:rsidRDefault="002A3D75" w:rsidP="0035774B">
            <w:pPr>
              <w:spacing w:after="200" w:line="276" w:lineRule="auto"/>
              <w:rPr>
                <w:b/>
                <w:bCs/>
              </w:rPr>
            </w:pPr>
            <w:r w:rsidRPr="006548D8">
              <w:rPr>
                <w:bCs/>
              </w:rPr>
              <w:t>Volume: Unknown</w:t>
            </w:r>
          </w:p>
          <w:p w14:paraId="38552179" w14:textId="77777777" w:rsidR="002A3D75" w:rsidRPr="006548D8" w:rsidRDefault="002A3D75" w:rsidP="0035774B">
            <w:pPr>
              <w:spacing w:after="200" w:line="276" w:lineRule="auto"/>
              <w:rPr>
                <w:b/>
                <w:bCs/>
              </w:rPr>
            </w:pPr>
            <w:r w:rsidRPr="006548D8">
              <w:rPr>
                <w:bCs/>
              </w:rPr>
              <w:t>A sanitary main block surcharged into an adjacent catch basin.</w:t>
            </w:r>
          </w:p>
        </w:tc>
        <w:tc>
          <w:tcPr>
            <w:tcW w:w="3803" w:type="dxa"/>
          </w:tcPr>
          <w:p w14:paraId="34F1E05F" w14:textId="77777777" w:rsidR="002A3D75" w:rsidRPr="006548D8" w:rsidRDefault="002A3D75" w:rsidP="0035774B">
            <w:pPr>
              <w:spacing w:after="200" w:line="276" w:lineRule="auto"/>
              <w:rPr>
                <w:b/>
                <w:bCs/>
              </w:rPr>
            </w:pPr>
            <w:r w:rsidRPr="006548D8">
              <w:rPr>
                <w:bCs/>
              </w:rPr>
              <w:t>The City hydrovaced the effected maintenance hole to relieve the block.</w:t>
            </w:r>
          </w:p>
          <w:p w14:paraId="3E3965F1" w14:textId="77777777" w:rsidR="002A3D75" w:rsidRPr="006548D8" w:rsidRDefault="002A3D75" w:rsidP="0035774B">
            <w:pPr>
              <w:spacing w:after="200" w:line="276" w:lineRule="auto"/>
              <w:rPr>
                <w:b/>
                <w:bCs/>
              </w:rPr>
            </w:pPr>
            <w:r w:rsidRPr="006548D8">
              <w:rPr>
                <w:bCs/>
              </w:rPr>
              <w:t>The adjacent stormwater infrastructure and surface level discharge was hydrovaced, clearing all sewage from the affected areas.</w:t>
            </w:r>
          </w:p>
        </w:tc>
      </w:tr>
      <w:tr w:rsidR="002A3D75" w14:paraId="64C8A281" w14:textId="77777777" w:rsidTr="00F679F5">
        <w:trPr>
          <w:cantSplit/>
        </w:trPr>
        <w:tc>
          <w:tcPr>
            <w:tcW w:w="355" w:type="dxa"/>
          </w:tcPr>
          <w:p w14:paraId="563C557B" w14:textId="77777777" w:rsidR="002A3D75" w:rsidRPr="006548D8" w:rsidRDefault="002A3D75" w:rsidP="0035774B">
            <w:pPr>
              <w:spacing w:after="200" w:line="276" w:lineRule="auto"/>
            </w:pPr>
            <w:r w:rsidRPr="006548D8">
              <w:t>3</w:t>
            </w:r>
          </w:p>
        </w:tc>
        <w:tc>
          <w:tcPr>
            <w:tcW w:w="1530" w:type="dxa"/>
          </w:tcPr>
          <w:p w14:paraId="63A83EF3" w14:textId="77777777" w:rsidR="002A3D75" w:rsidRPr="006548D8" w:rsidRDefault="002A3D75" w:rsidP="0035774B">
            <w:pPr>
              <w:spacing w:after="200" w:line="276" w:lineRule="auto"/>
              <w:rPr>
                <w:b/>
                <w:bCs/>
              </w:rPr>
            </w:pPr>
            <w:r w:rsidRPr="006548D8">
              <w:rPr>
                <w:bCs/>
              </w:rPr>
              <w:t>2025-03-25</w:t>
            </w:r>
          </w:p>
        </w:tc>
        <w:tc>
          <w:tcPr>
            <w:tcW w:w="1530" w:type="dxa"/>
          </w:tcPr>
          <w:p w14:paraId="4883E65D" w14:textId="77777777" w:rsidR="002A3D75" w:rsidRPr="006548D8" w:rsidRDefault="002A3D75" w:rsidP="0035774B">
            <w:pPr>
              <w:spacing w:after="200" w:line="276" w:lineRule="auto"/>
              <w:rPr>
                <w:b/>
                <w:bCs/>
              </w:rPr>
            </w:pPr>
            <w:r w:rsidRPr="006548D8">
              <w:rPr>
                <w:bCs/>
              </w:rPr>
              <w:t>1535 Bishop St N</w:t>
            </w:r>
          </w:p>
        </w:tc>
        <w:tc>
          <w:tcPr>
            <w:tcW w:w="2880" w:type="dxa"/>
          </w:tcPr>
          <w:p w14:paraId="072961D1" w14:textId="77777777" w:rsidR="002A3D75" w:rsidRPr="006548D8" w:rsidRDefault="002A3D75" w:rsidP="0035774B">
            <w:pPr>
              <w:spacing w:after="200" w:line="276" w:lineRule="auto"/>
              <w:rPr>
                <w:b/>
                <w:bCs/>
              </w:rPr>
            </w:pPr>
            <w:r w:rsidRPr="006548D8">
              <w:rPr>
                <w:bCs/>
              </w:rPr>
              <w:t>SAC: 1-MSD1PB</w:t>
            </w:r>
          </w:p>
          <w:p w14:paraId="599A5535" w14:textId="77777777" w:rsidR="002A3D75" w:rsidRPr="006548D8" w:rsidRDefault="002A3D75" w:rsidP="0035774B">
            <w:pPr>
              <w:spacing w:after="200" w:line="276" w:lineRule="auto"/>
              <w:rPr>
                <w:b/>
                <w:bCs/>
              </w:rPr>
            </w:pPr>
            <w:r w:rsidRPr="006548D8">
              <w:rPr>
                <w:bCs/>
              </w:rPr>
              <w:t>Volume: ~1000L</w:t>
            </w:r>
          </w:p>
          <w:p w14:paraId="10C3BAA2" w14:textId="77777777" w:rsidR="002A3D75" w:rsidRPr="006548D8" w:rsidRDefault="002A3D75" w:rsidP="0035774B">
            <w:pPr>
              <w:spacing w:after="200" w:line="276" w:lineRule="auto"/>
              <w:rPr>
                <w:b/>
                <w:bCs/>
              </w:rPr>
            </w:pPr>
            <w:r w:rsidRPr="006548D8">
              <w:rPr>
                <w:bCs/>
              </w:rPr>
              <w:t>Sewage leaked out of a Vactor Truck onto a concrete surface.</w:t>
            </w:r>
          </w:p>
        </w:tc>
        <w:tc>
          <w:tcPr>
            <w:tcW w:w="3803" w:type="dxa"/>
          </w:tcPr>
          <w:p w14:paraId="3FDB8D4D" w14:textId="77777777" w:rsidR="002A3D75" w:rsidRPr="006548D8" w:rsidRDefault="002A3D75" w:rsidP="0035774B">
            <w:pPr>
              <w:spacing w:after="200" w:line="276" w:lineRule="auto"/>
              <w:rPr>
                <w:b/>
                <w:bCs/>
              </w:rPr>
            </w:pPr>
            <w:r w:rsidRPr="006548D8">
              <w:rPr>
                <w:bCs/>
              </w:rPr>
              <w:t>The City hydrovaced the affected area. No sewage entered stormwater infrastructure during the event.</w:t>
            </w:r>
          </w:p>
        </w:tc>
      </w:tr>
      <w:tr w:rsidR="002A3D75" w14:paraId="3C96D997" w14:textId="77777777" w:rsidTr="00F679F5">
        <w:trPr>
          <w:cantSplit/>
        </w:trPr>
        <w:tc>
          <w:tcPr>
            <w:tcW w:w="355" w:type="dxa"/>
          </w:tcPr>
          <w:p w14:paraId="000F1F69" w14:textId="77777777" w:rsidR="002A3D75" w:rsidRPr="006548D8" w:rsidRDefault="002A3D75" w:rsidP="0035774B">
            <w:pPr>
              <w:spacing w:after="200" w:line="276" w:lineRule="auto"/>
            </w:pPr>
            <w:r w:rsidRPr="006548D8">
              <w:lastRenderedPageBreak/>
              <w:t>4</w:t>
            </w:r>
          </w:p>
        </w:tc>
        <w:tc>
          <w:tcPr>
            <w:tcW w:w="1530" w:type="dxa"/>
          </w:tcPr>
          <w:p w14:paraId="5F34ABE0" w14:textId="77777777" w:rsidR="002A3D75" w:rsidRPr="006548D8" w:rsidRDefault="002A3D75" w:rsidP="0035774B">
            <w:pPr>
              <w:spacing w:after="200" w:line="276" w:lineRule="auto"/>
              <w:rPr>
                <w:b/>
                <w:bCs/>
              </w:rPr>
            </w:pPr>
            <w:r w:rsidRPr="006548D8">
              <w:rPr>
                <w:bCs/>
              </w:rPr>
              <w:t>2025-10-02</w:t>
            </w:r>
          </w:p>
        </w:tc>
        <w:tc>
          <w:tcPr>
            <w:tcW w:w="1530" w:type="dxa"/>
          </w:tcPr>
          <w:p w14:paraId="02B29B14" w14:textId="77777777" w:rsidR="002A3D75" w:rsidRPr="006548D8" w:rsidRDefault="002A3D75" w:rsidP="0035774B">
            <w:pPr>
              <w:spacing w:after="200" w:line="276" w:lineRule="auto"/>
              <w:rPr>
                <w:b/>
                <w:bCs/>
              </w:rPr>
            </w:pPr>
            <w:r w:rsidRPr="006548D8">
              <w:rPr>
                <w:bCs/>
              </w:rPr>
              <w:t>1010 Elgin St N</w:t>
            </w:r>
          </w:p>
        </w:tc>
        <w:tc>
          <w:tcPr>
            <w:tcW w:w="2880" w:type="dxa"/>
          </w:tcPr>
          <w:p w14:paraId="18F40232" w14:textId="77777777" w:rsidR="002A3D75" w:rsidRPr="006548D8" w:rsidRDefault="002A3D75" w:rsidP="0035774B">
            <w:pPr>
              <w:spacing w:after="200" w:line="276" w:lineRule="auto"/>
              <w:rPr>
                <w:b/>
                <w:bCs/>
              </w:rPr>
            </w:pPr>
            <w:r w:rsidRPr="006548D8">
              <w:rPr>
                <w:bCs/>
              </w:rPr>
              <w:t>SAC: 1-PLGGMQ</w:t>
            </w:r>
          </w:p>
          <w:p w14:paraId="6404E6EB" w14:textId="77777777" w:rsidR="002A3D75" w:rsidRPr="006548D8" w:rsidRDefault="002A3D75" w:rsidP="0035774B">
            <w:pPr>
              <w:spacing w:after="200" w:line="276" w:lineRule="auto"/>
              <w:rPr>
                <w:b/>
                <w:bCs/>
              </w:rPr>
            </w:pPr>
            <w:r w:rsidRPr="006548D8">
              <w:rPr>
                <w:bCs/>
              </w:rPr>
              <w:t>Volume: ~ 1 year’s worth of public washroom usage</w:t>
            </w:r>
          </w:p>
          <w:p w14:paraId="2B1BC367" w14:textId="77777777" w:rsidR="002A3D75" w:rsidRPr="006548D8" w:rsidRDefault="002A3D75" w:rsidP="0035774B">
            <w:pPr>
              <w:spacing w:after="200" w:line="276" w:lineRule="auto"/>
              <w:rPr>
                <w:b/>
                <w:bCs/>
              </w:rPr>
            </w:pPr>
            <w:r w:rsidRPr="006548D8">
              <w:rPr>
                <w:bCs/>
              </w:rPr>
              <w:t>A sanitary line from a business was tied into stormwater infrastructure during a recent renovation of the business.</w:t>
            </w:r>
          </w:p>
        </w:tc>
        <w:tc>
          <w:tcPr>
            <w:tcW w:w="3803" w:type="dxa"/>
          </w:tcPr>
          <w:p w14:paraId="63240DD3" w14:textId="77777777" w:rsidR="002A3D75" w:rsidRPr="006548D8" w:rsidRDefault="002A3D75" w:rsidP="0035774B">
            <w:pPr>
              <w:spacing w:after="200" w:line="276" w:lineRule="auto"/>
              <w:rPr>
                <w:b/>
                <w:bCs/>
              </w:rPr>
            </w:pPr>
            <w:r w:rsidRPr="006548D8">
              <w:rPr>
                <w:bCs/>
              </w:rPr>
              <w:t>The City flushed the affected stormwater infrastructure and cleaned the affected storm pond outfall.</w:t>
            </w:r>
          </w:p>
          <w:p w14:paraId="79333576" w14:textId="77777777" w:rsidR="002A3D75" w:rsidRPr="006548D8" w:rsidRDefault="002A3D75" w:rsidP="0035774B">
            <w:pPr>
              <w:spacing w:after="200" w:line="276" w:lineRule="auto"/>
              <w:rPr>
                <w:b/>
                <w:bCs/>
              </w:rPr>
            </w:pPr>
            <w:r w:rsidRPr="006548D8">
              <w:rPr>
                <w:bCs/>
              </w:rPr>
              <w:t>The City has told the offending business to suspended operations and not run any water on site until the issue has been resolved internally.</w:t>
            </w:r>
          </w:p>
        </w:tc>
      </w:tr>
    </w:tbl>
    <w:p w14:paraId="14811DAE" w14:textId="645D6D58" w:rsidR="002A3D75" w:rsidRPr="00F679F5" w:rsidRDefault="002A3D75" w:rsidP="002A3D75"/>
    <w:p w14:paraId="385C6904" w14:textId="77777777" w:rsidR="002A3D75" w:rsidRPr="00F679F5" w:rsidRDefault="002A3D75" w:rsidP="002A3D75">
      <w:pPr>
        <w:rPr>
          <w:b/>
          <w:bCs/>
          <w:szCs w:val="24"/>
        </w:rPr>
      </w:pPr>
      <w:r w:rsidRPr="00F679F5">
        <w:rPr>
          <w:b/>
          <w:bCs/>
          <w:szCs w:val="24"/>
        </w:rPr>
        <w:t>EXISTING POLICY / BY-LAW(S):</w:t>
      </w:r>
    </w:p>
    <w:p w14:paraId="4C358FE6" w14:textId="55F243E0" w:rsidR="002A3D75" w:rsidRPr="00F679F5" w:rsidRDefault="002A3D75" w:rsidP="002A3D75">
      <w:pPr>
        <w:rPr>
          <w:b/>
          <w:bCs/>
        </w:rPr>
      </w:pPr>
      <w:r w:rsidRPr="00F679F5">
        <w:rPr>
          <w:b/>
          <w:bCs/>
        </w:rPr>
        <w:t>City of Cambridge Wastewater Quality Management System Policy</w:t>
      </w:r>
    </w:p>
    <w:p w14:paraId="3DDE5567" w14:textId="77777777" w:rsidR="002A3D75" w:rsidRPr="006548D8" w:rsidRDefault="002A3D75" w:rsidP="002A3D75">
      <w:pPr>
        <w:rPr>
          <w:b/>
          <w:bCs/>
        </w:rPr>
      </w:pPr>
      <w:r w:rsidRPr="006548D8">
        <w:rPr>
          <w:bCs/>
        </w:rPr>
        <w:t>As the owners and operators of the City of Cambridge’s wastewater collection system we are committed to:</w:t>
      </w:r>
    </w:p>
    <w:p w14:paraId="157F2B02" w14:textId="405D3281" w:rsidR="002A3D75" w:rsidRPr="006548D8" w:rsidRDefault="002A3D75" w:rsidP="002A3D75">
      <w:pPr>
        <w:pStyle w:val="ListParagraph"/>
        <w:numPr>
          <w:ilvl w:val="0"/>
          <w:numId w:val="29"/>
        </w:numPr>
        <w:rPr>
          <w:rFonts w:cs="Arial"/>
          <w:b/>
          <w:bCs/>
          <w:color w:val="000000"/>
          <w:szCs w:val="24"/>
        </w:rPr>
      </w:pPr>
      <w:r w:rsidRPr="006548D8">
        <w:rPr>
          <w:rFonts w:cs="Arial"/>
          <w:bCs/>
          <w:color w:val="000000"/>
          <w:szCs w:val="24"/>
        </w:rPr>
        <w:t>Providing stormwater protection to the public</w:t>
      </w:r>
    </w:p>
    <w:p w14:paraId="4AA1B65B" w14:textId="52676776" w:rsidR="002A3D75" w:rsidRPr="006548D8" w:rsidRDefault="002A3D75" w:rsidP="002A3D75">
      <w:pPr>
        <w:pStyle w:val="ListParagraph"/>
        <w:numPr>
          <w:ilvl w:val="0"/>
          <w:numId w:val="29"/>
        </w:numPr>
        <w:rPr>
          <w:rFonts w:cs="Arial"/>
          <w:b/>
          <w:bCs/>
          <w:color w:val="000000"/>
          <w:szCs w:val="24"/>
        </w:rPr>
      </w:pPr>
      <w:r w:rsidRPr="006548D8">
        <w:rPr>
          <w:rFonts w:cs="Arial"/>
          <w:bCs/>
          <w:color w:val="000000"/>
          <w:szCs w:val="24"/>
        </w:rPr>
        <w:t>Mitigating the impact of stormwater on the environment</w:t>
      </w:r>
    </w:p>
    <w:p w14:paraId="38DD979A" w14:textId="71DA1205" w:rsidR="002A3D75" w:rsidRPr="006548D8" w:rsidRDefault="002A3D75" w:rsidP="002A3D75">
      <w:pPr>
        <w:pStyle w:val="ListParagraph"/>
        <w:numPr>
          <w:ilvl w:val="0"/>
          <w:numId w:val="29"/>
        </w:numPr>
        <w:rPr>
          <w:rFonts w:cs="Arial"/>
          <w:b/>
          <w:bCs/>
          <w:color w:val="000000"/>
          <w:szCs w:val="24"/>
        </w:rPr>
      </w:pPr>
      <w:r w:rsidRPr="006548D8">
        <w:rPr>
          <w:rFonts w:cs="Arial"/>
          <w:bCs/>
          <w:color w:val="000000"/>
          <w:szCs w:val="24"/>
        </w:rPr>
        <w:t>Maintaining and continually improving the SWM System</w:t>
      </w:r>
    </w:p>
    <w:p w14:paraId="280DC0EB" w14:textId="77777777" w:rsidR="002A3D75" w:rsidRDefault="002A3D75" w:rsidP="002A3D75">
      <w:pPr>
        <w:rPr>
          <w:szCs w:val="24"/>
        </w:rPr>
      </w:pPr>
    </w:p>
    <w:p w14:paraId="32AEC646" w14:textId="77777777" w:rsidR="002A3D75" w:rsidRPr="00F679F5" w:rsidRDefault="002A3D75" w:rsidP="002A3D75">
      <w:pPr>
        <w:rPr>
          <w:b/>
          <w:bCs/>
          <w:szCs w:val="24"/>
        </w:rPr>
      </w:pPr>
      <w:r w:rsidRPr="00F679F5">
        <w:rPr>
          <w:b/>
          <w:bCs/>
          <w:szCs w:val="24"/>
        </w:rPr>
        <w:t>FINANCIAL IMPACT:</w:t>
      </w:r>
    </w:p>
    <w:p w14:paraId="356AA8D1" w14:textId="7D41BED8" w:rsidR="00155047" w:rsidRPr="00F679F5" w:rsidRDefault="002F1943" w:rsidP="005420B1">
      <w:pPr>
        <w:rPr>
          <w:bCs/>
        </w:rPr>
      </w:pPr>
      <w:sdt>
        <w:sdtPr>
          <w:rPr>
            <w:rFonts w:eastAsia="Arial"/>
            <w:b/>
          </w:rPr>
          <w:id w:val="456148236"/>
          <w:placeholder>
            <w:docPart w:val="CD35C87148F74EE0B2FCC5415B623A35"/>
          </w:placeholder>
        </w:sdtPr>
        <w:sdtEndPr>
          <w:rPr>
            <w:szCs w:val="24"/>
            <w:highlight w:val="yellow"/>
          </w:rPr>
        </w:sdtEndPr>
        <w:sdtContent>
          <w:sdt>
            <w:sdtPr>
              <w:rPr>
                <w:rFonts w:eastAsia="Arial"/>
                <w:b/>
                <w:bCs/>
              </w:rPr>
              <w:id w:val="-757213489"/>
              <w:placeholder>
                <w:docPart w:val="092ECAF4515D457780C52E769D04BA8B"/>
              </w:placeholder>
            </w:sdtPr>
            <w:sdtEndPr>
              <w:rPr>
                <w:rFonts w:eastAsia="Times New Roman"/>
                <w:bCs w:val="0"/>
                <w:szCs w:val="24"/>
                <w:highlight w:val="yellow"/>
              </w:rPr>
            </w:sdtEndPr>
            <w:sdtContent>
              <w:r w:rsidR="002A3D75" w:rsidRPr="006548D8">
                <w:rPr>
                  <w:rFonts w:eastAsia="Arial"/>
                  <w:szCs w:val="24"/>
                </w:rPr>
                <w:t>The 2025 Stormwater Management budget was $8,568,00, up from $7,577,400 in 2024. The budget is projected to be $8,235,700 in 2026.</w:t>
              </w:r>
            </w:sdtContent>
          </w:sdt>
        </w:sdtContent>
      </w:sdt>
    </w:p>
    <w:p w14:paraId="307468F8" w14:textId="727664E3" w:rsidR="00473D1C" w:rsidRPr="00BC2A2B" w:rsidRDefault="00623AAE" w:rsidP="00BC2A2B">
      <w:pPr>
        <w:pStyle w:val="Heading1"/>
      </w:pPr>
      <w:r w:rsidRPr="00BC2A2B">
        <w:t>Attachments</w:t>
      </w:r>
    </w:p>
    <w:p w14:paraId="307468F9" w14:textId="2FA4F6CC" w:rsidR="00FB4908" w:rsidRDefault="002A3D75" w:rsidP="003833A9">
      <w:r>
        <w:t>N/A</w:t>
      </w:r>
    </w:p>
    <w:tbl>
      <w:tblPr>
        <w:tblStyle w:val="TableGrid"/>
        <w:tblW w:w="0" w:type="auto"/>
        <w:tblLook w:val="04A0" w:firstRow="1" w:lastRow="0" w:firstColumn="1" w:lastColumn="0" w:noHBand="0" w:noVBand="1"/>
      </w:tblPr>
      <w:tblGrid>
        <w:gridCol w:w="10206"/>
      </w:tblGrid>
      <w:tr w:rsidR="00155047" w14:paraId="77E01401" w14:textId="77777777" w:rsidTr="0035774B">
        <w:tc>
          <w:tcPr>
            <w:tcW w:w="10206" w:type="dxa"/>
          </w:tcPr>
          <w:p w14:paraId="0225983A" w14:textId="77777777" w:rsidR="00155047" w:rsidRPr="00472007" w:rsidRDefault="00155047" w:rsidP="0035774B">
            <w:pPr>
              <w:tabs>
                <w:tab w:val="left" w:pos="2889"/>
              </w:tabs>
              <w:rPr>
                <w:b/>
              </w:rPr>
            </w:pPr>
            <w:r>
              <w:rPr>
                <w:b/>
              </w:rPr>
              <w:t>Approvals:</w:t>
            </w:r>
          </w:p>
          <w:p w14:paraId="774D9F2A" w14:textId="0F9530B5" w:rsidR="00155047" w:rsidRDefault="002F1943" w:rsidP="0035774B">
            <w:pPr>
              <w:tabs>
                <w:tab w:val="left" w:pos="2889"/>
              </w:tabs>
            </w:pPr>
            <w:sdt>
              <w:sdtPr>
                <w:id w:val="-891891260"/>
                <w14:checkbox>
                  <w14:checked w14:val="1"/>
                  <w14:checkedState w14:val="2612" w14:font="MS Gothic"/>
                  <w14:uncheckedState w14:val="2610" w14:font="MS Gothic"/>
                </w14:checkbox>
              </w:sdtPr>
              <w:sdtEndPr/>
              <w:sdtContent>
                <w:r w:rsidR="0060616D">
                  <w:rPr>
                    <w:rFonts w:ascii="MS Gothic" w:eastAsia="MS Gothic" w:hAnsi="MS Gothic" w:hint="eastAsia"/>
                  </w:rPr>
                  <w:t>☒</w:t>
                </w:r>
              </w:sdtContent>
            </w:sdt>
            <w:r w:rsidR="00155047">
              <w:t xml:space="preserve"> Manager/Supervisor                    </w:t>
            </w:r>
            <w:sdt>
              <w:sdtPr>
                <w:id w:val="391474273"/>
                <w14:checkbox>
                  <w14:checked w14:val="1"/>
                  <w14:checkedState w14:val="2612" w14:font="MS Gothic"/>
                  <w14:uncheckedState w14:val="2610" w14:font="MS Gothic"/>
                </w14:checkbox>
              </w:sdtPr>
              <w:sdtEndPr/>
              <w:sdtContent>
                <w:r w:rsidR="0060616D">
                  <w:rPr>
                    <w:rFonts w:ascii="MS Gothic" w:eastAsia="MS Gothic" w:hAnsi="MS Gothic" w:hint="eastAsia"/>
                  </w:rPr>
                  <w:t>☒</w:t>
                </w:r>
              </w:sdtContent>
            </w:sdt>
            <w:r w:rsidR="00155047">
              <w:t xml:space="preserve"> General Manager                              </w:t>
            </w:r>
            <w:sdt>
              <w:sdtPr>
                <w:id w:val="1437788131"/>
                <w14:checkbox>
                  <w14:checked w14:val="0"/>
                  <w14:checkedState w14:val="2612" w14:font="MS Gothic"/>
                  <w14:uncheckedState w14:val="2610" w14:font="MS Gothic"/>
                </w14:checkbox>
              </w:sdtPr>
              <w:sdtEndPr/>
              <w:sdtContent>
                <w:r w:rsidR="00155047">
                  <w:rPr>
                    <w:rFonts w:ascii="MS Gothic" w:eastAsia="MS Gothic" w:hAnsi="MS Gothic" w:hint="eastAsia"/>
                  </w:rPr>
                  <w:t>☐</w:t>
                </w:r>
              </w:sdtContent>
            </w:sdt>
            <w:r w:rsidR="00155047">
              <w:t xml:space="preserve"> City Manager</w:t>
            </w:r>
          </w:p>
        </w:tc>
      </w:tr>
    </w:tbl>
    <w:p w14:paraId="38F59FDB" w14:textId="77777777" w:rsidR="00155047" w:rsidRPr="00155047" w:rsidRDefault="00155047" w:rsidP="00F679F5"/>
    <w:sectPr w:rsidR="00155047" w:rsidRPr="00155047" w:rsidSect="00BC2A2B">
      <w:headerReference w:type="even" r:id="rId18"/>
      <w:headerReference w:type="default" r:id="rId19"/>
      <w:footerReference w:type="even" r:id="rId20"/>
      <w:footerReference w:type="default" r:id="rId21"/>
      <w:headerReference w:type="first" r:id="rId22"/>
      <w:footerReference w:type="first" r:id="rId23"/>
      <w:pgSz w:w="12240" w:h="15840" w:code="1"/>
      <w:pgMar w:top="288" w:right="990" w:bottom="1440" w:left="126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C36A" w14:textId="77777777" w:rsidR="002F1943" w:rsidRDefault="002F1943" w:rsidP="0070379C">
      <w:r>
        <w:separator/>
      </w:r>
    </w:p>
  </w:endnote>
  <w:endnote w:type="continuationSeparator" w:id="0">
    <w:p w14:paraId="2FBB7F7C" w14:textId="77777777" w:rsidR="002F1943" w:rsidRDefault="002F1943" w:rsidP="0070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900" w14:textId="77777777" w:rsidR="007840A9" w:rsidRDefault="00784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901" w14:textId="77777777" w:rsidR="007840A9" w:rsidRDefault="007840A9" w:rsidP="007840A9">
    <w:pPr>
      <w:pStyle w:val="Footer"/>
      <w:spacing w:before="0" w:after="100" w:afterAutospacing="1"/>
      <w:ind w:left="-1080" w:hanging="270"/>
      <w:jc w:val="center"/>
    </w:pPr>
    <w:r>
      <w:rPr>
        <w:noProof/>
      </w:rPr>
      <w:drawing>
        <wp:inline distT="0" distB="0" distL="0" distR="0" wp14:anchorId="30746906" wp14:editId="30746907">
          <wp:extent cx="7976912" cy="237744"/>
          <wp:effectExtent l="0" t="0" r="0" b="0"/>
          <wp:docPr id="3" name="Picture 3" title="Footer: Inclusiveness, Respect, Integrit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IS72Hight.png"/>
                  <pic:cNvPicPr/>
                </pic:nvPicPr>
                <pic:blipFill>
                  <a:blip r:embed="rId1">
                    <a:extLst>
                      <a:ext uri="{28A0092B-C50C-407E-A947-70E740481C1C}">
                        <a14:useLocalDpi xmlns:a14="http://schemas.microsoft.com/office/drawing/2010/main" val="0"/>
                      </a:ext>
                    </a:extLst>
                  </a:blip>
                  <a:stretch>
                    <a:fillRect/>
                  </a:stretch>
                </pic:blipFill>
                <pic:spPr>
                  <a:xfrm>
                    <a:off x="0" y="0"/>
                    <a:ext cx="7976912" cy="23774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903" w14:textId="77777777" w:rsidR="007840A9" w:rsidRDefault="0078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2A6E" w14:textId="77777777" w:rsidR="002F1943" w:rsidRDefault="002F1943" w:rsidP="0070379C">
      <w:r>
        <w:separator/>
      </w:r>
    </w:p>
  </w:footnote>
  <w:footnote w:type="continuationSeparator" w:id="0">
    <w:p w14:paraId="0E81F53E" w14:textId="77777777" w:rsidR="002F1943" w:rsidRDefault="002F1943" w:rsidP="0070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8FE" w14:textId="77777777" w:rsidR="007840A9" w:rsidRDefault="00784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8FF" w14:textId="77777777" w:rsidR="007840A9" w:rsidRDefault="007840A9" w:rsidP="00050C8A">
    <w:pPr>
      <w:pStyle w:val="Header"/>
      <w:tabs>
        <w:tab w:val="clear" w:pos="4320"/>
        <w:tab w:val="clear" w:pos="8640"/>
        <w:tab w:val="left" w:pos="3139"/>
      </w:tabs>
      <w:spacing w:before="0" w:after="0"/>
      <w:ind w:left="-720" w:hanging="180"/>
    </w:pPr>
    <w:r>
      <w:rPr>
        <w:noProof/>
      </w:rPr>
      <w:drawing>
        <wp:inline distT="0" distB="0" distL="0" distR="0" wp14:anchorId="30746904" wp14:editId="30746905">
          <wp:extent cx="2039112" cy="640080"/>
          <wp:effectExtent l="0" t="0" r="0" b="7620"/>
          <wp:docPr id="2" name="Picture 2" title="City of Cambri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PP-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9112" cy="640080"/>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902" w14:textId="77777777" w:rsidR="007840A9" w:rsidRDefault="00784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CD8"/>
    <w:multiLevelType w:val="multilevel"/>
    <w:tmpl w:val="1B08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93BA3"/>
    <w:multiLevelType w:val="multilevel"/>
    <w:tmpl w:val="4316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86A6F"/>
    <w:multiLevelType w:val="multilevel"/>
    <w:tmpl w:val="E7E8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A77A5"/>
    <w:multiLevelType w:val="multilevel"/>
    <w:tmpl w:val="778A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05E00"/>
    <w:multiLevelType w:val="hybridMultilevel"/>
    <w:tmpl w:val="C2548C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8E2F05"/>
    <w:multiLevelType w:val="multilevel"/>
    <w:tmpl w:val="356A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6A2615"/>
    <w:multiLevelType w:val="hybridMultilevel"/>
    <w:tmpl w:val="61742E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2A014E3"/>
    <w:multiLevelType w:val="multilevel"/>
    <w:tmpl w:val="D5B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CD4AB8"/>
    <w:multiLevelType w:val="multilevel"/>
    <w:tmpl w:val="92B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D4F62"/>
    <w:multiLevelType w:val="multilevel"/>
    <w:tmpl w:val="6600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096B4F"/>
    <w:multiLevelType w:val="multilevel"/>
    <w:tmpl w:val="FD9C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1139B4"/>
    <w:multiLevelType w:val="multilevel"/>
    <w:tmpl w:val="BF98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9E26D6"/>
    <w:multiLevelType w:val="hybridMultilevel"/>
    <w:tmpl w:val="3752B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033EE1"/>
    <w:multiLevelType w:val="hybridMultilevel"/>
    <w:tmpl w:val="12967326"/>
    <w:lvl w:ilvl="0" w:tplc="04090001">
      <w:start w:val="1"/>
      <w:numFmt w:val="bullet"/>
      <w:lvlText w:val=""/>
      <w:lvlJc w:val="left"/>
      <w:pPr>
        <w:ind w:left="720" w:hanging="360"/>
      </w:pPr>
      <w:rPr>
        <w:rFonts w:ascii="Symbol" w:hAnsi="Symbol" w:hint="default"/>
      </w:rPr>
    </w:lvl>
    <w:lvl w:ilvl="1" w:tplc="EF80921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F2E95"/>
    <w:multiLevelType w:val="multilevel"/>
    <w:tmpl w:val="ACEC896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9E36D35"/>
    <w:multiLevelType w:val="multilevel"/>
    <w:tmpl w:val="B8A2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3361D4"/>
    <w:multiLevelType w:val="multilevel"/>
    <w:tmpl w:val="7BB0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B403B6"/>
    <w:multiLevelType w:val="multilevel"/>
    <w:tmpl w:val="2C88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E02344"/>
    <w:multiLevelType w:val="multilevel"/>
    <w:tmpl w:val="5078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F85889"/>
    <w:multiLevelType w:val="multilevel"/>
    <w:tmpl w:val="B34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324176"/>
    <w:multiLevelType w:val="hybridMultilevel"/>
    <w:tmpl w:val="2D4AF6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C392D85"/>
    <w:multiLevelType w:val="multilevel"/>
    <w:tmpl w:val="0E58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852511"/>
    <w:multiLevelType w:val="multilevel"/>
    <w:tmpl w:val="6164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F81DA4"/>
    <w:multiLevelType w:val="multilevel"/>
    <w:tmpl w:val="B66A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6D3FE2"/>
    <w:multiLevelType w:val="multilevel"/>
    <w:tmpl w:val="F710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345238"/>
    <w:multiLevelType w:val="hybridMultilevel"/>
    <w:tmpl w:val="AC2CC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0E7277"/>
    <w:multiLevelType w:val="multilevel"/>
    <w:tmpl w:val="115A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672018"/>
    <w:multiLevelType w:val="multilevel"/>
    <w:tmpl w:val="D00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D514FD"/>
    <w:multiLevelType w:val="multilevel"/>
    <w:tmpl w:val="BF3C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334662">
    <w:abstractNumId w:val="20"/>
  </w:num>
  <w:num w:numId="2" w16cid:durableId="1760446400">
    <w:abstractNumId w:val="6"/>
  </w:num>
  <w:num w:numId="3" w16cid:durableId="1018118890">
    <w:abstractNumId w:val="12"/>
  </w:num>
  <w:num w:numId="4" w16cid:durableId="1254581800">
    <w:abstractNumId w:val="4"/>
  </w:num>
  <w:num w:numId="5" w16cid:durableId="1182476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9495737">
    <w:abstractNumId w:val="25"/>
  </w:num>
  <w:num w:numId="7" w16cid:durableId="19792109">
    <w:abstractNumId w:val="11"/>
  </w:num>
  <w:num w:numId="8" w16cid:durableId="1759054609">
    <w:abstractNumId w:val="16"/>
  </w:num>
  <w:num w:numId="9" w16cid:durableId="574051726">
    <w:abstractNumId w:val="19"/>
  </w:num>
  <w:num w:numId="10" w16cid:durableId="878323016">
    <w:abstractNumId w:val="22"/>
  </w:num>
  <w:num w:numId="11" w16cid:durableId="1703439846">
    <w:abstractNumId w:val="26"/>
  </w:num>
  <w:num w:numId="12" w16cid:durableId="1452019512">
    <w:abstractNumId w:val="24"/>
  </w:num>
  <w:num w:numId="13" w16cid:durableId="2036076180">
    <w:abstractNumId w:val="2"/>
  </w:num>
  <w:num w:numId="14" w16cid:durableId="645090309">
    <w:abstractNumId w:val="28"/>
  </w:num>
  <w:num w:numId="15" w16cid:durableId="1214972845">
    <w:abstractNumId w:val="7"/>
  </w:num>
  <w:num w:numId="16" w16cid:durableId="1953003692">
    <w:abstractNumId w:val="5"/>
  </w:num>
  <w:num w:numId="17" w16cid:durableId="650140220">
    <w:abstractNumId w:val="10"/>
  </w:num>
  <w:num w:numId="18" w16cid:durableId="1734114793">
    <w:abstractNumId w:val="23"/>
  </w:num>
  <w:num w:numId="19" w16cid:durableId="140848762">
    <w:abstractNumId w:val="8"/>
  </w:num>
  <w:num w:numId="20" w16cid:durableId="1419865786">
    <w:abstractNumId w:val="17"/>
  </w:num>
  <w:num w:numId="21" w16cid:durableId="1310987160">
    <w:abstractNumId w:val="9"/>
  </w:num>
  <w:num w:numId="22" w16cid:durableId="90050634">
    <w:abstractNumId w:val="21"/>
  </w:num>
  <w:num w:numId="23" w16cid:durableId="1015419158">
    <w:abstractNumId w:val="3"/>
  </w:num>
  <w:num w:numId="24" w16cid:durableId="534776882">
    <w:abstractNumId w:val="15"/>
  </w:num>
  <w:num w:numId="25" w16cid:durableId="433865687">
    <w:abstractNumId w:val="0"/>
  </w:num>
  <w:num w:numId="26" w16cid:durableId="376391517">
    <w:abstractNumId w:val="18"/>
  </w:num>
  <w:num w:numId="27" w16cid:durableId="1628320814">
    <w:abstractNumId w:val="27"/>
  </w:num>
  <w:num w:numId="28" w16cid:durableId="939217214">
    <w:abstractNumId w:val="1"/>
  </w:num>
  <w:num w:numId="29" w16cid:durableId="316154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E8"/>
    <w:rsid w:val="00007DB9"/>
    <w:rsid w:val="000404A7"/>
    <w:rsid w:val="00050C8A"/>
    <w:rsid w:val="00051647"/>
    <w:rsid w:val="00053A5D"/>
    <w:rsid w:val="000705A5"/>
    <w:rsid w:val="00081FE8"/>
    <w:rsid w:val="00082A6F"/>
    <w:rsid w:val="00087390"/>
    <w:rsid w:val="00093E86"/>
    <w:rsid w:val="000A212E"/>
    <w:rsid w:val="000F2667"/>
    <w:rsid w:val="00101D59"/>
    <w:rsid w:val="00115174"/>
    <w:rsid w:val="0012411E"/>
    <w:rsid w:val="00130B7B"/>
    <w:rsid w:val="0013373A"/>
    <w:rsid w:val="00155047"/>
    <w:rsid w:val="00157C0A"/>
    <w:rsid w:val="00161D9C"/>
    <w:rsid w:val="00187B53"/>
    <w:rsid w:val="001C2A4E"/>
    <w:rsid w:val="001D3853"/>
    <w:rsid w:val="001F2CC8"/>
    <w:rsid w:val="001F6322"/>
    <w:rsid w:val="002066FC"/>
    <w:rsid w:val="00227D38"/>
    <w:rsid w:val="00242B23"/>
    <w:rsid w:val="00275D2F"/>
    <w:rsid w:val="00281C5E"/>
    <w:rsid w:val="0029361C"/>
    <w:rsid w:val="002A3D75"/>
    <w:rsid w:val="002D207C"/>
    <w:rsid w:val="002D3830"/>
    <w:rsid w:val="002E736D"/>
    <w:rsid w:val="002F1943"/>
    <w:rsid w:val="002F5173"/>
    <w:rsid w:val="00307C2A"/>
    <w:rsid w:val="00310C83"/>
    <w:rsid w:val="00312ABE"/>
    <w:rsid w:val="0031452B"/>
    <w:rsid w:val="003200EC"/>
    <w:rsid w:val="00330DEF"/>
    <w:rsid w:val="003468AD"/>
    <w:rsid w:val="0035406B"/>
    <w:rsid w:val="0035774B"/>
    <w:rsid w:val="003833A9"/>
    <w:rsid w:val="003853DA"/>
    <w:rsid w:val="0039038D"/>
    <w:rsid w:val="003B1999"/>
    <w:rsid w:val="003C5A86"/>
    <w:rsid w:val="003D37AD"/>
    <w:rsid w:val="003D3F12"/>
    <w:rsid w:val="004352A2"/>
    <w:rsid w:val="00473D1C"/>
    <w:rsid w:val="004766FC"/>
    <w:rsid w:val="004B57C0"/>
    <w:rsid w:val="004C4292"/>
    <w:rsid w:val="004C6B36"/>
    <w:rsid w:val="004D3894"/>
    <w:rsid w:val="004E0CA8"/>
    <w:rsid w:val="004E3D7A"/>
    <w:rsid w:val="004F5E0F"/>
    <w:rsid w:val="005420B1"/>
    <w:rsid w:val="005558B6"/>
    <w:rsid w:val="00567E31"/>
    <w:rsid w:val="005805DA"/>
    <w:rsid w:val="00581D4F"/>
    <w:rsid w:val="005914C6"/>
    <w:rsid w:val="005A12AD"/>
    <w:rsid w:val="005D744D"/>
    <w:rsid w:val="005E4A56"/>
    <w:rsid w:val="00604EDF"/>
    <w:rsid w:val="0060616D"/>
    <w:rsid w:val="00607D1A"/>
    <w:rsid w:val="00615082"/>
    <w:rsid w:val="00623AAE"/>
    <w:rsid w:val="00653A53"/>
    <w:rsid w:val="006607BA"/>
    <w:rsid w:val="00662B8C"/>
    <w:rsid w:val="00691A68"/>
    <w:rsid w:val="006943FE"/>
    <w:rsid w:val="0069694A"/>
    <w:rsid w:val="006F2A8A"/>
    <w:rsid w:val="006F3A7C"/>
    <w:rsid w:val="0070379C"/>
    <w:rsid w:val="00733512"/>
    <w:rsid w:val="007373D4"/>
    <w:rsid w:val="00754404"/>
    <w:rsid w:val="00771C44"/>
    <w:rsid w:val="007840A9"/>
    <w:rsid w:val="0079583E"/>
    <w:rsid w:val="007A67C9"/>
    <w:rsid w:val="007E6418"/>
    <w:rsid w:val="008229CC"/>
    <w:rsid w:val="008415B8"/>
    <w:rsid w:val="00843B4D"/>
    <w:rsid w:val="00887ABC"/>
    <w:rsid w:val="008B3D55"/>
    <w:rsid w:val="008E2CD8"/>
    <w:rsid w:val="008E5EBF"/>
    <w:rsid w:val="008E6AFC"/>
    <w:rsid w:val="008F233A"/>
    <w:rsid w:val="00924BA3"/>
    <w:rsid w:val="0093014D"/>
    <w:rsid w:val="00937537"/>
    <w:rsid w:val="00943F84"/>
    <w:rsid w:val="00952B27"/>
    <w:rsid w:val="009533E8"/>
    <w:rsid w:val="00956891"/>
    <w:rsid w:val="0096225D"/>
    <w:rsid w:val="00963741"/>
    <w:rsid w:val="0096600A"/>
    <w:rsid w:val="00975250"/>
    <w:rsid w:val="0098679A"/>
    <w:rsid w:val="009926CF"/>
    <w:rsid w:val="00992FB2"/>
    <w:rsid w:val="009A0074"/>
    <w:rsid w:val="009A44F8"/>
    <w:rsid w:val="009C30E3"/>
    <w:rsid w:val="009E5CCD"/>
    <w:rsid w:val="009F66A7"/>
    <w:rsid w:val="00A127C9"/>
    <w:rsid w:val="00A444C2"/>
    <w:rsid w:val="00A47609"/>
    <w:rsid w:val="00A50695"/>
    <w:rsid w:val="00A51D66"/>
    <w:rsid w:val="00AC6424"/>
    <w:rsid w:val="00AD046A"/>
    <w:rsid w:val="00B140B3"/>
    <w:rsid w:val="00B22A6E"/>
    <w:rsid w:val="00B33AD3"/>
    <w:rsid w:val="00B63BDB"/>
    <w:rsid w:val="00B74CB1"/>
    <w:rsid w:val="00B83B44"/>
    <w:rsid w:val="00B92E5C"/>
    <w:rsid w:val="00BA602D"/>
    <w:rsid w:val="00BA68C9"/>
    <w:rsid w:val="00BB07A4"/>
    <w:rsid w:val="00BB3EB1"/>
    <w:rsid w:val="00BB4E53"/>
    <w:rsid w:val="00BC2A2B"/>
    <w:rsid w:val="00BE0016"/>
    <w:rsid w:val="00C004BD"/>
    <w:rsid w:val="00C154D7"/>
    <w:rsid w:val="00C179B1"/>
    <w:rsid w:val="00C24F1B"/>
    <w:rsid w:val="00C427C4"/>
    <w:rsid w:val="00C53281"/>
    <w:rsid w:val="00C568B8"/>
    <w:rsid w:val="00C617DD"/>
    <w:rsid w:val="00CB27CD"/>
    <w:rsid w:val="00CB496F"/>
    <w:rsid w:val="00CC15D4"/>
    <w:rsid w:val="00CE2754"/>
    <w:rsid w:val="00D1535D"/>
    <w:rsid w:val="00D270E9"/>
    <w:rsid w:val="00D449B8"/>
    <w:rsid w:val="00D5517B"/>
    <w:rsid w:val="00D62CA2"/>
    <w:rsid w:val="00D8049F"/>
    <w:rsid w:val="00DA633F"/>
    <w:rsid w:val="00DC5A49"/>
    <w:rsid w:val="00DE4F54"/>
    <w:rsid w:val="00DF3B77"/>
    <w:rsid w:val="00DF42EA"/>
    <w:rsid w:val="00E00D43"/>
    <w:rsid w:val="00E112E6"/>
    <w:rsid w:val="00E5357A"/>
    <w:rsid w:val="00E55155"/>
    <w:rsid w:val="00E601B7"/>
    <w:rsid w:val="00E61B24"/>
    <w:rsid w:val="00E61B4C"/>
    <w:rsid w:val="00E6361F"/>
    <w:rsid w:val="00EF363C"/>
    <w:rsid w:val="00EF41E8"/>
    <w:rsid w:val="00EF6A3F"/>
    <w:rsid w:val="00F23A82"/>
    <w:rsid w:val="00F50A63"/>
    <w:rsid w:val="00F54B23"/>
    <w:rsid w:val="00F56AD9"/>
    <w:rsid w:val="00F66AED"/>
    <w:rsid w:val="00F679F5"/>
    <w:rsid w:val="00F7045C"/>
    <w:rsid w:val="00F95516"/>
    <w:rsid w:val="00FA1FCF"/>
    <w:rsid w:val="00FB4908"/>
    <w:rsid w:val="00FC7A5E"/>
    <w:rsid w:val="00FD709F"/>
    <w:rsid w:val="00FE5950"/>
    <w:rsid w:val="00FE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468EF"/>
  <w15:docId w15:val="{ED1F5C7B-1E3B-43BD-AB37-39BC814B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C0A"/>
    <w:pPr>
      <w:spacing w:before="120"/>
    </w:pPr>
    <w:rPr>
      <w:rFonts w:eastAsia="Times New Roman" w:cs="Times New Roman"/>
      <w:szCs w:val="20"/>
    </w:rPr>
  </w:style>
  <w:style w:type="paragraph" w:styleId="Heading1">
    <w:name w:val="heading 1"/>
    <w:basedOn w:val="Normal"/>
    <w:next w:val="Normal"/>
    <w:link w:val="Heading1Char"/>
    <w:qFormat/>
    <w:rsid w:val="00BC2A2B"/>
    <w:pPr>
      <w:keepNext/>
      <w:pBdr>
        <w:bottom w:val="single" w:sz="18" w:space="1" w:color="3C7090"/>
      </w:pBdr>
      <w:spacing w:after="240" w:line="23" w:lineRule="atLeast"/>
      <w:outlineLvl w:val="0"/>
    </w:pPr>
    <w:rPr>
      <w:rFonts w:asciiTheme="majorHAnsi" w:eastAsiaTheme="majorEastAsia" w:hAnsiTheme="majorHAnsi" w:cstheme="majorBidi"/>
      <w:b/>
      <w:bCs/>
      <w:color w:val="3C7090"/>
      <w:sz w:val="28"/>
      <w:szCs w:val="28"/>
      <w:lang w:val="en-CA"/>
    </w:rPr>
  </w:style>
  <w:style w:type="paragraph" w:styleId="Heading2">
    <w:name w:val="heading 2"/>
    <w:basedOn w:val="Heading1"/>
    <w:next w:val="Normal"/>
    <w:link w:val="Heading2Char"/>
    <w:uiPriority w:val="9"/>
    <w:unhideWhenUsed/>
    <w:qFormat/>
    <w:rsid w:val="007373D4"/>
    <w:pPr>
      <w:spacing w:before="360"/>
      <w:outlineLvl w:val="1"/>
    </w:pPr>
    <w:rPr>
      <w:noProof/>
      <w:lang w:eastAsia="en-CA"/>
    </w:rPr>
  </w:style>
  <w:style w:type="paragraph" w:styleId="Heading3">
    <w:name w:val="heading 3"/>
    <w:basedOn w:val="Heading1"/>
    <w:next w:val="Normal"/>
    <w:link w:val="Heading3Char"/>
    <w:uiPriority w:val="9"/>
    <w:unhideWhenUsed/>
    <w:qFormat/>
    <w:rsid w:val="00A51D66"/>
    <w:pPr>
      <w:outlineLvl w:val="2"/>
    </w:pPr>
    <w:rPr>
      <w:noProof/>
    </w:rPr>
  </w:style>
  <w:style w:type="paragraph" w:styleId="Heading4">
    <w:name w:val="heading 4"/>
    <w:basedOn w:val="Normal"/>
    <w:next w:val="Normal"/>
    <w:link w:val="Heading4Char"/>
    <w:uiPriority w:val="9"/>
    <w:semiHidden/>
    <w:unhideWhenUsed/>
    <w:qFormat/>
    <w:rsid w:val="00662B8C"/>
    <w:pPr>
      <w:spacing w:before="200"/>
      <w:outlineLvl w:val="3"/>
    </w:pPr>
    <w:rPr>
      <w:rFonts w:asciiTheme="majorHAnsi" w:eastAsiaTheme="majorEastAsia" w:hAnsiTheme="majorHAnsi" w:cstheme="majorBidi"/>
      <w:b/>
      <w:bCs/>
      <w:i/>
      <w:iCs/>
      <w:szCs w:val="22"/>
    </w:rPr>
  </w:style>
  <w:style w:type="paragraph" w:styleId="Heading5">
    <w:name w:val="heading 5"/>
    <w:basedOn w:val="Normal"/>
    <w:next w:val="Normal"/>
    <w:link w:val="Heading5Char"/>
    <w:uiPriority w:val="9"/>
    <w:semiHidden/>
    <w:unhideWhenUsed/>
    <w:qFormat/>
    <w:rsid w:val="00662B8C"/>
    <w:pPr>
      <w:spacing w:before="200"/>
      <w:outlineLvl w:val="4"/>
    </w:pPr>
    <w:rPr>
      <w:rFonts w:asciiTheme="majorHAnsi" w:eastAsiaTheme="majorEastAsia" w:hAnsiTheme="majorHAnsi" w:cstheme="majorBidi"/>
      <w:b/>
      <w:bCs/>
      <w:color w:val="7F7F7F" w:themeColor="text1" w:themeTint="80"/>
      <w:szCs w:val="22"/>
    </w:rPr>
  </w:style>
  <w:style w:type="paragraph" w:styleId="Heading6">
    <w:name w:val="heading 6"/>
    <w:basedOn w:val="Normal"/>
    <w:next w:val="Normal"/>
    <w:link w:val="Heading6Char"/>
    <w:uiPriority w:val="9"/>
    <w:semiHidden/>
    <w:unhideWhenUsed/>
    <w:qFormat/>
    <w:rsid w:val="00662B8C"/>
    <w:pPr>
      <w:spacing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662B8C"/>
    <w:pPr>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662B8C"/>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62B8C"/>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A2B"/>
    <w:rPr>
      <w:rFonts w:asciiTheme="majorHAnsi" w:eastAsiaTheme="majorEastAsia" w:hAnsiTheme="majorHAnsi" w:cstheme="majorBidi"/>
      <w:b/>
      <w:bCs/>
      <w:color w:val="3C7090"/>
      <w:sz w:val="28"/>
      <w:szCs w:val="28"/>
      <w:lang w:val="en-CA"/>
    </w:rPr>
  </w:style>
  <w:style w:type="character" w:customStyle="1" w:styleId="Heading2Char">
    <w:name w:val="Heading 2 Char"/>
    <w:basedOn w:val="DefaultParagraphFont"/>
    <w:link w:val="Heading2"/>
    <w:uiPriority w:val="9"/>
    <w:rsid w:val="007373D4"/>
    <w:rPr>
      <w:rFonts w:asciiTheme="majorHAnsi" w:eastAsiaTheme="majorEastAsia" w:hAnsiTheme="majorHAnsi" w:cstheme="majorBidi"/>
      <w:b/>
      <w:bCs/>
      <w:noProof/>
      <w:color w:val="3C7090"/>
      <w:sz w:val="28"/>
      <w:szCs w:val="28"/>
      <w:lang w:val="en-CA" w:eastAsia="en-CA"/>
    </w:rPr>
  </w:style>
  <w:style w:type="character" w:customStyle="1" w:styleId="Heading3Char">
    <w:name w:val="Heading 3 Char"/>
    <w:basedOn w:val="DefaultParagraphFont"/>
    <w:link w:val="Heading3"/>
    <w:uiPriority w:val="9"/>
    <w:rsid w:val="00A51D66"/>
    <w:rPr>
      <w:rFonts w:asciiTheme="majorHAnsi" w:eastAsiaTheme="majorEastAsia" w:hAnsiTheme="majorHAnsi" w:cstheme="majorBidi"/>
      <w:b/>
      <w:bCs/>
      <w:noProof/>
      <w:color w:val="3C7090"/>
      <w:sz w:val="28"/>
      <w:szCs w:val="28"/>
      <w:lang w:val="en-CA"/>
    </w:rPr>
  </w:style>
  <w:style w:type="character" w:customStyle="1" w:styleId="Heading4Char">
    <w:name w:val="Heading 4 Char"/>
    <w:basedOn w:val="DefaultParagraphFont"/>
    <w:link w:val="Heading4"/>
    <w:uiPriority w:val="9"/>
    <w:semiHidden/>
    <w:rsid w:val="00662B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62B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62B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62B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62B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62B8C"/>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662B8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662B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62B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62B8C"/>
    <w:rPr>
      <w:rFonts w:asciiTheme="majorHAnsi" w:eastAsiaTheme="majorEastAsia" w:hAnsiTheme="majorHAnsi" w:cstheme="majorBidi"/>
      <w:i/>
      <w:iCs/>
      <w:spacing w:val="13"/>
      <w:sz w:val="24"/>
      <w:szCs w:val="24"/>
    </w:rPr>
  </w:style>
  <w:style w:type="character" w:styleId="Strong">
    <w:name w:val="Strong"/>
    <w:uiPriority w:val="22"/>
    <w:qFormat/>
    <w:rsid w:val="00CB496F"/>
  </w:style>
  <w:style w:type="character" w:styleId="Emphasis">
    <w:name w:val="Emphasis"/>
    <w:uiPriority w:val="20"/>
    <w:qFormat/>
    <w:rsid w:val="00662B8C"/>
    <w:rPr>
      <w:b/>
      <w:bCs/>
      <w:i/>
      <w:iCs/>
      <w:spacing w:val="10"/>
      <w:bdr w:val="none" w:sz="0" w:space="0" w:color="auto"/>
      <w:shd w:val="clear" w:color="auto" w:fill="auto"/>
    </w:rPr>
  </w:style>
  <w:style w:type="paragraph" w:styleId="NoSpacing">
    <w:name w:val="No Spacing"/>
    <w:basedOn w:val="Normal"/>
    <w:uiPriority w:val="1"/>
    <w:qFormat/>
    <w:rsid w:val="00662B8C"/>
    <w:rPr>
      <w:rFonts w:eastAsiaTheme="minorHAnsi" w:cstheme="minorBidi"/>
      <w:szCs w:val="22"/>
    </w:rPr>
  </w:style>
  <w:style w:type="paragraph" w:styleId="ListParagraph">
    <w:name w:val="List Paragraph"/>
    <w:basedOn w:val="Normal"/>
    <w:uiPriority w:val="34"/>
    <w:qFormat/>
    <w:rsid w:val="00662B8C"/>
    <w:pPr>
      <w:ind w:left="720"/>
      <w:contextualSpacing/>
    </w:pPr>
    <w:rPr>
      <w:rFonts w:eastAsiaTheme="minorHAnsi" w:cstheme="minorBidi"/>
      <w:szCs w:val="22"/>
    </w:rPr>
  </w:style>
  <w:style w:type="paragraph" w:styleId="Quote">
    <w:name w:val="Quote"/>
    <w:basedOn w:val="Normal"/>
    <w:next w:val="Normal"/>
    <w:link w:val="QuoteChar"/>
    <w:uiPriority w:val="29"/>
    <w:qFormat/>
    <w:rsid w:val="00662B8C"/>
    <w:pPr>
      <w:spacing w:before="200"/>
      <w:ind w:left="360" w:right="360"/>
    </w:pPr>
    <w:rPr>
      <w:rFonts w:eastAsiaTheme="minorHAnsi" w:cstheme="minorBidi"/>
      <w:i/>
      <w:iCs/>
      <w:szCs w:val="22"/>
    </w:rPr>
  </w:style>
  <w:style w:type="character" w:customStyle="1" w:styleId="QuoteChar">
    <w:name w:val="Quote Char"/>
    <w:basedOn w:val="DefaultParagraphFont"/>
    <w:link w:val="Quote"/>
    <w:uiPriority w:val="29"/>
    <w:rsid w:val="00662B8C"/>
    <w:rPr>
      <w:i/>
      <w:iCs/>
    </w:rPr>
  </w:style>
  <w:style w:type="paragraph" w:styleId="IntenseQuote">
    <w:name w:val="Intense Quote"/>
    <w:basedOn w:val="Normal"/>
    <w:next w:val="Normal"/>
    <w:link w:val="IntenseQuoteChar"/>
    <w:uiPriority w:val="30"/>
    <w:qFormat/>
    <w:rsid w:val="00662B8C"/>
    <w:pPr>
      <w:pBdr>
        <w:bottom w:val="single" w:sz="4" w:space="1" w:color="auto"/>
      </w:pBdr>
      <w:spacing w:before="200" w:after="280"/>
      <w:ind w:left="1008" w:right="1152"/>
      <w:jc w:val="both"/>
    </w:pPr>
    <w:rPr>
      <w:rFonts w:eastAsiaTheme="minorHAnsi" w:cstheme="minorBidi"/>
      <w:b/>
      <w:bCs/>
      <w:i/>
      <w:iCs/>
      <w:szCs w:val="22"/>
    </w:rPr>
  </w:style>
  <w:style w:type="character" w:customStyle="1" w:styleId="IntenseQuoteChar">
    <w:name w:val="Intense Quote Char"/>
    <w:basedOn w:val="DefaultParagraphFont"/>
    <w:link w:val="IntenseQuote"/>
    <w:uiPriority w:val="30"/>
    <w:rsid w:val="00662B8C"/>
    <w:rPr>
      <w:b/>
      <w:bCs/>
      <w:i/>
      <w:iCs/>
    </w:rPr>
  </w:style>
  <w:style w:type="character" w:styleId="SubtleEmphasis">
    <w:name w:val="Subtle Emphasis"/>
    <w:uiPriority w:val="19"/>
    <w:qFormat/>
    <w:rsid w:val="00662B8C"/>
    <w:rPr>
      <w:i/>
      <w:iCs/>
    </w:rPr>
  </w:style>
  <w:style w:type="character" w:styleId="IntenseEmphasis">
    <w:name w:val="Intense Emphasis"/>
    <w:uiPriority w:val="21"/>
    <w:qFormat/>
    <w:rsid w:val="00662B8C"/>
    <w:rPr>
      <w:b/>
      <w:bCs/>
    </w:rPr>
  </w:style>
  <w:style w:type="character" w:styleId="SubtleReference">
    <w:name w:val="Subtle Reference"/>
    <w:uiPriority w:val="31"/>
    <w:qFormat/>
    <w:rsid w:val="00662B8C"/>
    <w:rPr>
      <w:smallCaps/>
    </w:rPr>
  </w:style>
  <w:style w:type="character" w:styleId="IntenseReference">
    <w:name w:val="Intense Reference"/>
    <w:uiPriority w:val="32"/>
    <w:qFormat/>
    <w:rsid w:val="00662B8C"/>
    <w:rPr>
      <w:smallCaps/>
      <w:spacing w:val="5"/>
      <w:u w:val="single"/>
    </w:rPr>
  </w:style>
  <w:style w:type="character" w:styleId="BookTitle">
    <w:name w:val="Book Title"/>
    <w:uiPriority w:val="33"/>
    <w:qFormat/>
    <w:rsid w:val="00662B8C"/>
    <w:rPr>
      <w:i/>
      <w:iCs/>
      <w:smallCaps/>
      <w:spacing w:val="5"/>
    </w:rPr>
  </w:style>
  <w:style w:type="paragraph" w:styleId="TOCHeading">
    <w:name w:val="TOC Heading"/>
    <w:basedOn w:val="Heading1"/>
    <w:next w:val="Normal"/>
    <w:uiPriority w:val="39"/>
    <w:semiHidden/>
    <w:unhideWhenUsed/>
    <w:qFormat/>
    <w:rsid w:val="00662B8C"/>
    <w:pPr>
      <w:outlineLvl w:val="9"/>
    </w:pPr>
    <w:rPr>
      <w:lang w:bidi="en-US"/>
    </w:rPr>
  </w:style>
  <w:style w:type="paragraph" w:styleId="Header">
    <w:name w:val="header"/>
    <w:basedOn w:val="Normal"/>
    <w:link w:val="HeaderChar"/>
    <w:rsid w:val="0070379C"/>
    <w:pPr>
      <w:tabs>
        <w:tab w:val="center" w:pos="4320"/>
        <w:tab w:val="right" w:pos="8640"/>
      </w:tabs>
    </w:pPr>
  </w:style>
  <w:style w:type="character" w:customStyle="1" w:styleId="HeaderChar">
    <w:name w:val="Header Char"/>
    <w:basedOn w:val="DefaultParagraphFont"/>
    <w:link w:val="Header"/>
    <w:rsid w:val="0070379C"/>
    <w:rPr>
      <w:rFonts w:eastAsia="Times New Roman" w:cs="Times New Roman"/>
      <w:szCs w:val="20"/>
    </w:rPr>
  </w:style>
  <w:style w:type="character" w:styleId="PlaceholderText">
    <w:name w:val="Placeholder Text"/>
    <w:basedOn w:val="DefaultParagraphFont"/>
    <w:uiPriority w:val="99"/>
    <w:semiHidden/>
    <w:rsid w:val="0070379C"/>
    <w:rPr>
      <w:color w:val="808080"/>
    </w:rPr>
  </w:style>
  <w:style w:type="paragraph" w:styleId="BalloonText">
    <w:name w:val="Balloon Text"/>
    <w:basedOn w:val="Normal"/>
    <w:link w:val="BalloonTextChar"/>
    <w:uiPriority w:val="99"/>
    <w:semiHidden/>
    <w:unhideWhenUsed/>
    <w:rsid w:val="0070379C"/>
    <w:rPr>
      <w:rFonts w:ascii="Tahoma" w:hAnsi="Tahoma" w:cs="Tahoma"/>
      <w:sz w:val="16"/>
      <w:szCs w:val="16"/>
    </w:rPr>
  </w:style>
  <w:style w:type="character" w:customStyle="1" w:styleId="BalloonTextChar">
    <w:name w:val="Balloon Text Char"/>
    <w:basedOn w:val="DefaultParagraphFont"/>
    <w:link w:val="BalloonText"/>
    <w:uiPriority w:val="99"/>
    <w:semiHidden/>
    <w:rsid w:val="0070379C"/>
    <w:rPr>
      <w:rFonts w:ascii="Tahoma" w:eastAsia="Times New Roman" w:hAnsi="Tahoma" w:cs="Tahoma"/>
      <w:sz w:val="16"/>
      <w:szCs w:val="16"/>
    </w:rPr>
  </w:style>
  <w:style w:type="paragraph" w:styleId="Footer">
    <w:name w:val="footer"/>
    <w:basedOn w:val="Normal"/>
    <w:link w:val="FooterChar"/>
    <w:uiPriority w:val="99"/>
    <w:unhideWhenUsed/>
    <w:rsid w:val="0070379C"/>
    <w:pPr>
      <w:tabs>
        <w:tab w:val="center" w:pos="4680"/>
        <w:tab w:val="right" w:pos="9360"/>
      </w:tabs>
    </w:pPr>
  </w:style>
  <w:style w:type="character" w:customStyle="1" w:styleId="FooterChar">
    <w:name w:val="Footer Char"/>
    <w:basedOn w:val="DefaultParagraphFont"/>
    <w:link w:val="Footer"/>
    <w:uiPriority w:val="99"/>
    <w:rsid w:val="0070379C"/>
    <w:rPr>
      <w:rFonts w:eastAsia="Times New Roman" w:cs="Times New Roman"/>
      <w:szCs w:val="20"/>
    </w:rPr>
  </w:style>
  <w:style w:type="paragraph" w:customStyle="1" w:styleId="Style1">
    <w:name w:val="Style1"/>
    <w:basedOn w:val="Normal"/>
    <w:link w:val="Style1Char"/>
    <w:rsid w:val="008415B8"/>
  </w:style>
  <w:style w:type="character" w:styleId="Hyperlink">
    <w:name w:val="Hyperlink"/>
    <w:basedOn w:val="DefaultParagraphFont"/>
    <w:uiPriority w:val="99"/>
    <w:unhideWhenUsed/>
    <w:rsid w:val="00157C0A"/>
    <w:rPr>
      <w:color w:val="0000FF" w:themeColor="hyperlink"/>
      <w:u w:val="single"/>
    </w:rPr>
  </w:style>
  <w:style w:type="character" w:customStyle="1" w:styleId="Style1Char">
    <w:name w:val="Style1 Char"/>
    <w:basedOn w:val="DefaultParagraphFont"/>
    <w:link w:val="Style1"/>
    <w:rsid w:val="008415B8"/>
    <w:rPr>
      <w:rFonts w:eastAsia="Times New Roman" w:cs="Times New Roman"/>
      <w:szCs w:val="20"/>
    </w:rPr>
  </w:style>
  <w:style w:type="character" w:customStyle="1" w:styleId="Style2Char">
    <w:name w:val="Style2 Char"/>
    <w:basedOn w:val="DefaultParagraphFont"/>
    <w:link w:val="Style2"/>
    <w:locked/>
    <w:rsid w:val="00101D59"/>
    <w:rPr>
      <w:rFonts w:ascii="Calibri" w:eastAsiaTheme="majorEastAsia" w:hAnsi="Calibri" w:cstheme="majorBidi"/>
      <w:b/>
      <w:bCs/>
      <w:color w:val="CC9900"/>
      <w:szCs w:val="24"/>
    </w:rPr>
  </w:style>
  <w:style w:type="paragraph" w:customStyle="1" w:styleId="Style2">
    <w:name w:val="Style2"/>
    <w:basedOn w:val="Heading3"/>
    <w:link w:val="Style2Char"/>
    <w:qFormat/>
    <w:rsid w:val="00101D59"/>
    <w:pPr>
      <w:spacing w:after="0" w:line="266" w:lineRule="auto"/>
    </w:pPr>
    <w:rPr>
      <w:rFonts w:ascii="Calibri" w:hAnsi="Calibri"/>
      <w:color w:val="CC9900"/>
      <w:szCs w:val="24"/>
    </w:rPr>
  </w:style>
  <w:style w:type="character" w:customStyle="1" w:styleId="Style3">
    <w:name w:val="Style3"/>
    <w:basedOn w:val="DefaultParagraphFont"/>
    <w:uiPriority w:val="1"/>
    <w:rsid w:val="00DF42EA"/>
    <w:rPr>
      <w:color w:val="000000" w:themeColor="text1"/>
    </w:rPr>
  </w:style>
  <w:style w:type="character" w:customStyle="1" w:styleId="Style4">
    <w:name w:val="Style4"/>
    <w:basedOn w:val="DefaultParagraphFont"/>
    <w:uiPriority w:val="1"/>
    <w:rsid w:val="00DF42EA"/>
    <w:rPr>
      <w:color w:val="auto"/>
    </w:rPr>
  </w:style>
  <w:style w:type="character" w:customStyle="1" w:styleId="Style5">
    <w:name w:val="Style5"/>
    <w:basedOn w:val="DefaultParagraphFont"/>
    <w:uiPriority w:val="1"/>
    <w:rsid w:val="00DF42EA"/>
    <w:rPr>
      <w:color w:val="000000" w:themeColor="text1"/>
    </w:rPr>
  </w:style>
  <w:style w:type="character" w:customStyle="1" w:styleId="Style6">
    <w:name w:val="Style6"/>
    <w:basedOn w:val="DefaultParagraphFont"/>
    <w:uiPriority w:val="1"/>
    <w:rsid w:val="00DF42EA"/>
    <w:rPr>
      <w:b/>
    </w:rPr>
  </w:style>
  <w:style w:type="character" w:customStyle="1" w:styleId="Style7">
    <w:name w:val="Style7"/>
    <w:basedOn w:val="DefaultParagraphFont"/>
    <w:uiPriority w:val="1"/>
    <w:rsid w:val="00DF42EA"/>
    <w:rPr>
      <w:b/>
    </w:rPr>
  </w:style>
  <w:style w:type="character" w:customStyle="1" w:styleId="Style8">
    <w:name w:val="Style8"/>
    <w:basedOn w:val="DefaultParagraphFont"/>
    <w:uiPriority w:val="1"/>
    <w:rsid w:val="00DF42EA"/>
    <w:rPr>
      <w:b/>
    </w:rPr>
  </w:style>
  <w:style w:type="character" w:customStyle="1" w:styleId="Style9">
    <w:name w:val="Style9"/>
    <w:basedOn w:val="DefaultParagraphFont"/>
    <w:uiPriority w:val="1"/>
    <w:rsid w:val="00EF41E8"/>
    <w:rPr>
      <w:rFonts w:ascii="Arial" w:hAnsi="Arial"/>
      <w:b/>
      <w:color w:val="000000" w:themeColor="text1"/>
      <w:sz w:val="28"/>
    </w:rPr>
  </w:style>
  <w:style w:type="character" w:customStyle="1" w:styleId="Style10">
    <w:name w:val="Style10"/>
    <w:basedOn w:val="DefaultParagraphFont"/>
    <w:uiPriority w:val="1"/>
    <w:rsid w:val="00EF41E8"/>
    <w:rPr>
      <w:rFonts w:ascii="Arial" w:hAnsi="Arial"/>
      <w:b/>
      <w:sz w:val="28"/>
    </w:rPr>
  </w:style>
  <w:style w:type="character" w:customStyle="1" w:styleId="Style11">
    <w:name w:val="Style11"/>
    <w:basedOn w:val="DefaultParagraphFont"/>
    <w:uiPriority w:val="1"/>
    <w:rsid w:val="00EF41E8"/>
    <w:rPr>
      <w:rFonts w:ascii="Arial" w:hAnsi="Arial"/>
      <w:b/>
      <w:sz w:val="28"/>
    </w:rPr>
  </w:style>
  <w:style w:type="character" w:customStyle="1" w:styleId="Style12">
    <w:name w:val="Style12"/>
    <w:basedOn w:val="DefaultParagraphFont"/>
    <w:uiPriority w:val="1"/>
    <w:rsid w:val="00567E31"/>
    <w:rPr>
      <w:rFonts w:ascii="Arial" w:hAnsi="Arial"/>
      <w:b/>
      <w:sz w:val="28"/>
    </w:rPr>
  </w:style>
  <w:style w:type="character" w:customStyle="1" w:styleId="Style13">
    <w:name w:val="Style13"/>
    <w:basedOn w:val="DefaultParagraphFont"/>
    <w:uiPriority w:val="1"/>
    <w:rsid w:val="00567E31"/>
    <w:rPr>
      <w:rFonts w:ascii="Arial" w:hAnsi="Arial"/>
      <w:b/>
      <w:color w:val="000000" w:themeColor="text1"/>
      <w:sz w:val="28"/>
    </w:rPr>
  </w:style>
  <w:style w:type="character" w:customStyle="1" w:styleId="Style14">
    <w:name w:val="Style14"/>
    <w:basedOn w:val="DefaultParagraphFont"/>
    <w:uiPriority w:val="1"/>
    <w:rsid w:val="00567E31"/>
    <w:rPr>
      <w:rFonts w:ascii="Arial" w:hAnsi="Arial"/>
      <w:b/>
      <w:color w:val="000000" w:themeColor="text1"/>
      <w:sz w:val="28"/>
    </w:rPr>
  </w:style>
  <w:style w:type="character" w:customStyle="1" w:styleId="Style15">
    <w:name w:val="Style15"/>
    <w:basedOn w:val="DefaultParagraphFont"/>
    <w:uiPriority w:val="1"/>
    <w:rsid w:val="002066FC"/>
    <w:rPr>
      <w:rFonts w:ascii="Arial" w:hAnsi="Arial"/>
      <w:b/>
      <w:sz w:val="28"/>
    </w:rPr>
  </w:style>
  <w:style w:type="character" w:customStyle="1" w:styleId="Style16">
    <w:name w:val="Style16"/>
    <w:basedOn w:val="DefaultParagraphFont"/>
    <w:uiPriority w:val="1"/>
    <w:rsid w:val="00087390"/>
    <w:rPr>
      <w:rFonts w:ascii="Arial" w:hAnsi="Arial"/>
      <w:b/>
      <w:color w:val="000000" w:themeColor="text1"/>
      <w:sz w:val="28"/>
    </w:rPr>
  </w:style>
  <w:style w:type="character" w:customStyle="1" w:styleId="Style17">
    <w:name w:val="Style17"/>
    <w:basedOn w:val="DefaultParagraphFont"/>
    <w:uiPriority w:val="1"/>
    <w:rsid w:val="00087390"/>
    <w:rPr>
      <w:rFonts w:ascii="Arial" w:hAnsi="Arial"/>
      <w:b/>
      <w:color w:val="000000" w:themeColor="text1"/>
      <w:sz w:val="28"/>
    </w:rPr>
  </w:style>
  <w:style w:type="character" w:customStyle="1" w:styleId="Style18">
    <w:name w:val="Style18"/>
    <w:basedOn w:val="DefaultParagraphFont"/>
    <w:uiPriority w:val="1"/>
    <w:rsid w:val="00087390"/>
    <w:rPr>
      <w:rFonts w:ascii="Arial" w:hAnsi="Arial"/>
      <w:b/>
      <w:color w:val="000000" w:themeColor="text1"/>
      <w:sz w:val="28"/>
    </w:rPr>
  </w:style>
  <w:style w:type="character" w:customStyle="1" w:styleId="Style19">
    <w:name w:val="Style19"/>
    <w:basedOn w:val="DefaultParagraphFont"/>
    <w:uiPriority w:val="1"/>
    <w:rsid w:val="00BB07A4"/>
    <w:rPr>
      <w:rFonts w:ascii="Arial" w:hAnsi="Arial"/>
      <w:b/>
      <w:color w:val="000000" w:themeColor="text1"/>
      <w:sz w:val="28"/>
    </w:rPr>
  </w:style>
  <w:style w:type="character" w:customStyle="1" w:styleId="Style20">
    <w:name w:val="Style20"/>
    <w:basedOn w:val="DefaultParagraphFont"/>
    <w:uiPriority w:val="1"/>
    <w:rsid w:val="0012411E"/>
    <w:rPr>
      <w:color w:val="000000" w:themeColor="text1"/>
    </w:rPr>
  </w:style>
  <w:style w:type="table" w:styleId="TableGrid">
    <w:name w:val="Table Grid"/>
    <w:basedOn w:val="TableNormal"/>
    <w:uiPriority w:val="39"/>
    <w:rsid w:val="0015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5501">
      <w:bodyDiv w:val="1"/>
      <w:marLeft w:val="0"/>
      <w:marRight w:val="0"/>
      <w:marTop w:val="0"/>
      <w:marBottom w:val="0"/>
      <w:divBdr>
        <w:top w:val="none" w:sz="0" w:space="0" w:color="auto"/>
        <w:left w:val="none" w:sz="0" w:space="0" w:color="auto"/>
        <w:bottom w:val="none" w:sz="0" w:space="0" w:color="auto"/>
        <w:right w:val="none" w:sz="0" w:space="0" w:color="auto"/>
      </w:divBdr>
    </w:div>
    <w:div w:id="1057899076">
      <w:bodyDiv w:val="1"/>
      <w:marLeft w:val="0"/>
      <w:marRight w:val="0"/>
      <w:marTop w:val="0"/>
      <w:marBottom w:val="0"/>
      <w:divBdr>
        <w:top w:val="none" w:sz="0" w:space="0" w:color="auto"/>
        <w:left w:val="none" w:sz="0" w:space="0" w:color="auto"/>
        <w:bottom w:val="none" w:sz="0" w:space="0" w:color="auto"/>
        <w:right w:val="none" w:sz="0" w:space="0" w:color="auto"/>
      </w:divBdr>
    </w:div>
    <w:div w:id="21105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Yearly</a:t>
            </a:r>
            <a:r>
              <a:rPr lang="en-US" baseline="0">
                <a:solidFill>
                  <a:sysClr val="windowText" lastClr="000000"/>
                </a:solidFill>
              </a:rPr>
              <a:t> Rainfall (mm) 2016-2025</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Rainfall (mm)</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0</c:formatCode>
                <c:ptCount val="10"/>
                <c:pt idx="0">
                  <c:v>889</c:v>
                </c:pt>
                <c:pt idx="1">
                  <c:v>607</c:v>
                </c:pt>
                <c:pt idx="2">
                  <c:v>955</c:v>
                </c:pt>
                <c:pt idx="3">
                  <c:v>966</c:v>
                </c:pt>
                <c:pt idx="4">
                  <c:v>788</c:v>
                </c:pt>
                <c:pt idx="5">
                  <c:v>948</c:v>
                </c:pt>
                <c:pt idx="6">
                  <c:v>623</c:v>
                </c:pt>
                <c:pt idx="7">
                  <c:v>963</c:v>
                </c:pt>
                <c:pt idx="8">
                  <c:v>950</c:v>
                </c:pt>
                <c:pt idx="9">
                  <c:v>775</c:v>
                </c:pt>
              </c:numCache>
            </c:numRef>
          </c:val>
          <c:extLst>
            <c:ext xmlns:c16="http://schemas.microsoft.com/office/drawing/2014/chart" uri="{C3380CC4-5D6E-409C-BE32-E72D297353CC}">
              <c16:uniqueId val="{00000000-C449-42D4-9DFC-7BAD7C64A151}"/>
            </c:ext>
          </c:extLst>
        </c:ser>
        <c:dLbls>
          <c:showLegendKey val="0"/>
          <c:showVal val="0"/>
          <c:showCatName val="0"/>
          <c:showSerName val="0"/>
          <c:showPercent val="0"/>
          <c:showBubbleSize val="0"/>
        </c:dLbls>
        <c:gapWidth val="50"/>
        <c:axId val="1031334016"/>
        <c:axId val="1031334376"/>
      </c:barChart>
      <c:lineChart>
        <c:grouping val="stacked"/>
        <c:varyColors val="0"/>
        <c:ser>
          <c:idx val="1"/>
          <c:order val="1"/>
          <c:tx>
            <c:strRef>
              <c:f>Sheet1!$C$1</c:f>
              <c:strCache>
                <c:ptCount val="1"/>
                <c:pt idx="0">
                  <c:v>5-Year Average (mm)</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cat>
            <c:numRef>
              <c:f>Sheet1!$A$2:$A$12</c:f>
              <c:numCache>
                <c:formatCode>General</c:formatCode>
                <c:ptCount val="11"/>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0</c:formatCode>
                <c:ptCount val="10"/>
                <c:pt idx="0">
                  <c:v>737</c:v>
                </c:pt>
                <c:pt idx="1">
                  <c:v>711.8</c:v>
                </c:pt>
                <c:pt idx="2">
                  <c:v>718.4</c:v>
                </c:pt>
                <c:pt idx="3">
                  <c:v>776.2</c:v>
                </c:pt>
                <c:pt idx="4">
                  <c:v>841</c:v>
                </c:pt>
                <c:pt idx="5">
                  <c:v>852.8</c:v>
                </c:pt>
                <c:pt idx="6">
                  <c:v>856</c:v>
                </c:pt>
                <c:pt idx="7">
                  <c:v>857.6</c:v>
                </c:pt>
                <c:pt idx="8">
                  <c:v>854.4</c:v>
                </c:pt>
                <c:pt idx="9">
                  <c:v>851.8</c:v>
                </c:pt>
              </c:numCache>
            </c:numRef>
          </c:val>
          <c:smooth val="0"/>
          <c:extLst>
            <c:ext xmlns:c16="http://schemas.microsoft.com/office/drawing/2014/chart" uri="{C3380CC4-5D6E-409C-BE32-E72D297353CC}">
              <c16:uniqueId val="{00000001-C449-42D4-9DFC-7BAD7C64A151}"/>
            </c:ext>
          </c:extLst>
        </c:ser>
        <c:dLbls>
          <c:showLegendKey val="0"/>
          <c:showVal val="0"/>
          <c:showCatName val="0"/>
          <c:showSerName val="0"/>
          <c:showPercent val="0"/>
          <c:showBubbleSize val="0"/>
        </c:dLbls>
        <c:marker val="1"/>
        <c:smooth val="0"/>
        <c:axId val="1031334016"/>
        <c:axId val="1031334376"/>
      </c:lineChart>
      <c:catAx>
        <c:axId val="103133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334376"/>
        <c:crosses val="autoZero"/>
        <c:auto val="1"/>
        <c:lblAlgn val="ctr"/>
        <c:lblOffset val="100"/>
        <c:noMultiLvlLbl val="0"/>
      </c:catAx>
      <c:valAx>
        <c:axId val="1031334376"/>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33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400" b="0" i="0" u="sng" strike="noStrike" baseline="0">
                <a:solidFill>
                  <a:sysClr val="windowText" lastClr="000000"/>
                </a:solidFill>
                <a:effectLst/>
              </a:rPr>
              <a:t>City of Cambridge Surface Water Flows (m</a:t>
            </a:r>
            <a:r>
              <a:rPr lang="en-CA" sz="1400" b="0" i="0" u="sng" strike="noStrike" baseline="30000">
                <a:solidFill>
                  <a:sysClr val="windowText" lastClr="000000"/>
                </a:solidFill>
                <a:effectLst/>
              </a:rPr>
              <a:t>3</a:t>
            </a:r>
            <a:r>
              <a:rPr lang="en-CA" sz="1400" b="0" i="0" u="sng" strike="noStrike" baseline="0">
                <a:solidFill>
                  <a:sysClr val="windowText" lastClr="000000"/>
                </a:solidFill>
                <a:effectLst/>
              </a:rPr>
              <a:t>/s)</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Grand River Inflow</c:v>
                </c:pt>
              </c:strCache>
            </c:strRef>
          </c:tx>
          <c:spPr>
            <a:ln w="28575" cap="rnd">
              <a:solidFill>
                <a:schemeClr val="accent1"/>
              </a:solidFill>
              <a:round/>
            </a:ln>
            <a:effectLst/>
          </c:spPr>
          <c:marker>
            <c:symbol val="none"/>
          </c:marker>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0.0</c:formatCode>
                <c:ptCount val="10"/>
                <c:pt idx="0">
                  <c:v>27</c:v>
                </c:pt>
                <c:pt idx="1">
                  <c:v>38.6</c:v>
                </c:pt>
                <c:pt idx="2">
                  <c:v>31.4</c:v>
                </c:pt>
                <c:pt idx="3">
                  <c:v>30.7</c:v>
                </c:pt>
                <c:pt idx="4">
                  <c:v>28.8</c:v>
                </c:pt>
                <c:pt idx="5">
                  <c:v>23.7</c:v>
                </c:pt>
                <c:pt idx="6">
                  <c:v>20.6</c:v>
                </c:pt>
                <c:pt idx="7">
                  <c:v>28.8</c:v>
                </c:pt>
                <c:pt idx="8">
                  <c:v>26.5</c:v>
                </c:pt>
                <c:pt idx="9">
                  <c:v>26.5</c:v>
                </c:pt>
              </c:numCache>
            </c:numRef>
          </c:val>
          <c:smooth val="0"/>
          <c:extLst>
            <c:ext xmlns:c16="http://schemas.microsoft.com/office/drawing/2014/chart" uri="{C3380CC4-5D6E-409C-BE32-E72D297353CC}">
              <c16:uniqueId val="{00000000-B382-4E3B-8A90-0AF169911638}"/>
            </c:ext>
          </c:extLst>
        </c:ser>
        <c:ser>
          <c:idx val="1"/>
          <c:order val="1"/>
          <c:tx>
            <c:strRef>
              <c:f>Sheet1!$C$1</c:f>
              <c:strCache>
                <c:ptCount val="1"/>
                <c:pt idx="0">
                  <c:v>Speed River Inflow</c:v>
                </c:pt>
              </c:strCache>
            </c:strRef>
          </c:tx>
          <c:spPr>
            <a:ln w="28575" cap="rnd">
              <a:solidFill>
                <a:schemeClr val="accent2"/>
              </a:solidFill>
              <a:round/>
            </a:ln>
            <a:effectLst/>
          </c:spPr>
          <c:marker>
            <c:symbol val="none"/>
          </c:marker>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0.0</c:formatCode>
                <c:ptCount val="10"/>
                <c:pt idx="0">
                  <c:v>7.8</c:v>
                </c:pt>
                <c:pt idx="1">
                  <c:v>10.1</c:v>
                </c:pt>
                <c:pt idx="2">
                  <c:v>8.4</c:v>
                </c:pt>
                <c:pt idx="3">
                  <c:v>9.9</c:v>
                </c:pt>
                <c:pt idx="4">
                  <c:v>8.1999999999999993</c:v>
                </c:pt>
                <c:pt idx="5">
                  <c:v>6.4</c:v>
                </c:pt>
                <c:pt idx="6">
                  <c:v>6.5</c:v>
                </c:pt>
                <c:pt idx="7">
                  <c:v>7.3</c:v>
                </c:pt>
                <c:pt idx="8">
                  <c:v>7.89</c:v>
                </c:pt>
                <c:pt idx="9">
                  <c:v>5.6</c:v>
                </c:pt>
              </c:numCache>
            </c:numRef>
          </c:val>
          <c:smooth val="0"/>
          <c:extLst>
            <c:ext xmlns:c16="http://schemas.microsoft.com/office/drawing/2014/chart" uri="{C3380CC4-5D6E-409C-BE32-E72D297353CC}">
              <c16:uniqueId val="{00000001-B382-4E3B-8A90-0AF169911638}"/>
            </c:ext>
          </c:extLst>
        </c:ser>
        <c:ser>
          <c:idx val="2"/>
          <c:order val="2"/>
          <c:tx>
            <c:strRef>
              <c:f>Sheet1!$D$1</c:f>
              <c:strCache>
                <c:ptCount val="1"/>
                <c:pt idx="0">
                  <c:v>Other Inflow</c:v>
                </c:pt>
              </c:strCache>
            </c:strRef>
          </c:tx>
          <c:spPr>
            <a:ln w="28575" cap="rnd">
              <a:solidFill>
                <a:schemeClr val="accent3"/>
              </a:solidFill>
              <a:round/>
            </a:ln>
            <a:effectLst/>
          </c:spPr>
          <c:marker>
            <c:symbol val="none"/>
          </c:marker>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Sheet1!$D$2:$D$11</c:f>
              <c:numCache>
                <c:formatCode>0.0</c:formatCode>
                <c:ptCount val="10"/>
                <c:pt idx="0">
                  <c:v>4.3000000000000016</c:v>
                </c:pt>
                <c:pt idx="1">
                  <c:v>6.4</c:v>
                </c:pt>
                <c:pt idx="2">
                  <c:v>4.5999999999999996</c:v>
                </c:pt>
                <c:pt idx="3">
                  <c:v>5.9</c:v>
                </c:pt>
                <c:pt idx="4">
                  <c:v>4.2999999999999972</c:v>
                </c:pt>
                <c:pt idx="5">
                  <c:v>4.1999999999999975</c:v>
                </c:pt>
                <c:pt idx="6">
                  <c:v>2.1999999999999993</c:v>
                </c:pt>
                <c:pt idx="7">
                  <c:v>3.1999999999999966</c:v>
                </c:pt>
                <c:pt idx="8">
                  <c:v>3.6100000000000003</c:v>
                </c:pt>
                <c:pt idx="9">
                  <c:v>1.2999999999999989</c:v>
                </c:pt>
              </c:numCache>
            </c:numRef>
          </c:val>
          <c:smooth val="0"/>
          <c:extLst>
            <c:ext xmlns:c16="http://schemas.microsoft.com/office/drawing/2014/chart" uri="{C3380CC4-5D6E-409C-BE32-E72D297353CC}">
              <c16:uniqueId val="{00000002-B382-4E3B-8A90-0AF169911638}"/>
            </c:ext>
          </c:extLst>
        </c:ser>
        <c:ser>
          <c:idx val="3"/>
          <c:order val="3"/>
          <c:tx>
            <c:strRef>
              <c:f>Sheet1!$E$1</c:f>
              <c:strCache>
                <c:ptCount val="1"/>
                <c:pt idx="0">
                  <c:v>Grand River Outflow</c:v>
                </c:pt>
              </c:strCache>
            </c:strRef>
          </c:tx>
          <c:spPr>
            <a:ln w="28575" cap="rnd">
              <a:solidFill>
                <a:schemeClr val="accent4"/>
              </a:solidFill>
              <a:round/>
            </a:ln>
            <a:effectLst/>
          </c:spPr>
          <c:marker>
            <c:symbol val="none"/>
          </c:marker>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Sheet1!$E$2:$E$11</c:f>
              <c:numCache>
                <c:formatCode>0.0</c:formatCode>
                <c:ptCount val="10"/>
                <c:pt idx="0">
                  <c:v>39.1</c:v>
                </c:pt>
                <c:pt idx="1">
                  <c:v>55.1</c:v>
                </c:pt>
                <c:pt idx="2">
                  <c:v>44.4</c:v>
                </c:pt>
                <c:pt idx="3">
                  <c:v>46.5</c:v>
                </c:pt>
                <c:pt idx="4">
                  <c:v>41.3</c:v>
                </c:pt>
                <c:pt idx="5">
                  <c:v>34.299999999999997</c:v>
                </c:pt>
                <c:pt idx="6">
                  <c:v>29.3</c:v>
                </c:pt>
                <c:pt idx="7">
                  <c:v>39.299999999999997</c:v>
                </c:pt>
                <c:pt idx="8">
                  <c:v>38</c:v>
                </c:pt>
                <c:pt idx="9">
                  <c:v>33.4</c:v>
                </c:pt>
              </c:numCache>
            </c:numRef>
          </c:val>
          <c:smooth val="0"/>
          <c:extLst>
            <c:ext xmlns:c16="http://schemas.microsoft.com/office/drawing/2014/chart" uri="{C3380CC4-5D6E-409C-BE32-E72D297353CC}">
              <c16:uniqueId val="{00000003-B382-4E3B-8A90-0AF169911638}"/>
            </c:ext>
          </c:extLst>
        </c:ser>
        <c:ser>
          <c:idx val="4"/>
          <c:order val="4"/>
          <c:tx>
            <c:strRef>
              <c:f>Sheet1!$F$1</c:f>
              <c:strCache>
                <c:ptCount val="1"/>
                <c:pt idx="0">
                  <c:v>5-Year Outflow Average</c:v>
                </c:pt>
              </c:strCache>
            </c:strRef>
          </c:tx>
          <c:spPr>
            <a:ln w="28575" cap="rnd">
              <a:solidFill>
                <a:schemeClr val="accent5"/>
              </a:solidFill>
              <a:prstDash val="sysDot"/>
              <a:round/>
            </a:ln>
            <a:effectLst/>
          </c:spPr>
          <c:marker>
            <c:symbol val="none"/>
          </c:marker>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Sheet1!$F$2:$F$11</c:f>
              <c:numCache>
                <c:formatCode>0.0</c:formatCode>
                <c:ptCount val="10"/>
                <c:pt idx="0">
                  <c:v>43.2</c:v>
                </c:pt>
                <c:pt idx="1">
                  <c:v>48.2</c:v>
                </c:pt>
                <c:pt idx="2">
                  <c:v>44.8</c:v>
                </c:pt>
                <c:pt idx="3">
                  <c:v>43.4</c:v>
                </c:pt>
                <c:pt idx="4">
                  <c:v>45.3</c:v>
                </c:pt>
                <c:pt idx="5">
                  <c:v>44.3</c:v>
                </c:pt>
                <c:pt idx="6">
                  <c:v>39.200000000000003</c:v>
                </c:pt>
                <c:pt idx="7">
                  <c:v>38.1</c:v>
                </c:pt>
                <c:pt idx="8">
                  <c:v>36.4</c:v>
                </c:pt>
                <c:pt idx="9">
                  <c:v>34.9</c:v>
                </c:pt>
              </c:numCache>
            </c:numRef>
          </c:val>
          <c:smooth val="0"/>
          <c:extLst>
            <c:ext xmlns:c16="http://schemas.microsoft.com/office/drawing/2014/chart" uri="{C3380CC4-5D6E-409C-BE32-E72D297353CC}">
              <c16:uniqueId val="{00000004-B382-4E3B-8A90-0AF169911638}"/>
            </c:ext>
          </c:extLst>
        </c:ser>
        <c:dLbls>
          <c:showLegendKey val="0"/>
          <c:showVal val="0"/>
          <c:showCatName val="0"/>
          <c:showSerName val="0"/>
          <c:showPercent val="0"/>
          <c:showBubbleSize val="0"/>
        </c:dLbls>
        <c:smooth val="0"/>
        <c:axId val="967360136"/>
        <c:axId val="967359056"/>
      </c:lineChart>
      <c:catAx>
        <c:axId val="967360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359056"/>
        <c:crosses val="autoZero"/>
        <c:auto val="1"/>
        <c:lblAlgn val="ctr"/>
        <c:lblOffset val="100"/>
        <c:noMultiLvlLbl val="0"/>
      </c:catAx>
      <c:valAx>
        <c:axId val="9673590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360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Long</a:t>
            </a:r>
            <a:r>
              <a:rPr lang="en-US" baseline="0">
                <a:solidFill>
                  <a:sysClr val="windowText" lastClr="000000"/>
                </a:solidFill>
              </a:rPr>
              <a:t> Term Outflow and Rainfall</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5-Year Average
Rainfall (mm)</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strRef>
              <c:f>Sheet1!$A$2:$A$17</c:f>
              <c:strCache>
                <c:ptCount val="16"/>
                <c:pt idx="0">
                  <c:v>2006-2010</c:v>
                </c:pt>
                <c:pt idx="5">
                  <c:v>2011-2015</c:v>
                </c:pt>
                <c:pt idx="10">
                  <c:v>2016-2020</c:v>
                </c:pt>
                <c:pt idx="15">
                  <c:v>2021-2025</c:v>
                </c:pt>
              </c:strCache>
            </c:strRef>
          </c:cat>
          <c:val>
            <c:numRef>
              <c:f>Sheet1!$B$2:$B$17</c:f>
              <c:numCache>
                <c:formatCode>0.0</c:formatCode>
                <c:ptCount val="16"/>
                <c:pt idx="0">
                  <c:v>793.8</c:v>
                </c:pt>
                <c:pt idx="1">
                  <c:v>736.6</c:v>
                </c:pt>
                <c:pt idx="2">
                  <c:v>784</c:v>
                </c:pt>
                <c:pt idx="3">
                  <c:v>791.4</c:v>
                </c:pt>
                <c:pt idx="4">
                  <c:v>752.4</c:v>
                </c:pt>
                <c:pt idx="5">
                  <c:v>684.6</c:v>
                </c:pt>
                <c:pt idx="6">
                  <c:v>737</c:v>
                </c:pt>
                <c:pt idx="7" formatCode="General">
                  <c:v>711.8</c:v>
                </c:pt>
                <c:pt idx="8" formatCode="General">
                  <c:v>718.4</c:v>
                </c:pt>
                <c:pt idx="9" formatCode="General">
                  <c:v>776.2</c:v>
                </c:pt>
                <c:pt idx="10" formatCode="General">
                  <c:v>841</c:v>
                </c:pt>
                <c:pt idx="11" formatCode="General">
                  <c:v>852.8</c:v>
                </c:pt>
                <c:pt idx="12" formatCode="General">
                  <c:v>856</c:v>
                </c:pt>
                <c:pt idx="13" formatCode="General">
                  <c:v>857.6</c:v>
                </c:pt>
                <c:pt idx="14" formatCode="General">
                  <c:v>854.4</c:v>
                </c:pt>
                <c:pt idx="15" formatCode="General">
                  <c:v>851.8</c:v>
                </c:pt>
              </c:numCache>
            </c:numRef>
          </c:val>
          <c:smooth val="0"/>
          <c:extLst>
            <c:ext xmlns:c16="http://schemas.microsoft.com/office/drawing/2014/chart" uri="{C3380CC4-5D6E-409C-BE32-E72D297353CC}">
              <c16:uniqueId val="{00000001-12E6-4996-AD61-2A2643A14BB2}"/>
            </c:ext>
          </c:extLst>
        </c:ser>
        <c:dLbls>
          <c:showLegendKey val="0"/>
          <c:showVal val="0"/>
          <c:showCatName val="0"/>
          <c:showSerName val="0"/>
          <c:showPercent val="0"/>
          <c:showBubbleSize val="0"/>
        </c:dLbls>
        <c:marker val="1"/>
        <c:smooth val="0"/>
        <c:axId val="937328144"/>
        <c:axId val="937334264"/>
      </c:lineChart>
      <c:lineChart>
        <c:grouping val="standard"/>
        <c:varyColors val="0"/>
        <c:ser>
          <c:idx val="1"/>
          <c:order val="1"/>
          <c:tx>
            <c:strRef>
              <c:f>Sheet1!$C$1</c:f>
              <c:strCache>
                <c:ptCount val="1"/>
                <c:pt idx="0">
                  <c:v>5-Year Average
Grand River Outflow (m3/s)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strRef>
              <c:f>Sheet1!$A$2:$A$17</c:f>
              <c:strCache>
                <c:ptCount val="16"/>
                <c:pt idx="0">
                  <c:v>2006-2010</c:v>
                </c:pt>
                <c:pt idx="5">
                  <c:v>2011-2015</c:v>
                </c:pt>
                <c:pt idx="10">
                  <c:v>2016-2020</c:v>
                </c:pt>
                <c:pt idx="15">
                  <c:v>2021-2025</c:v>
                </c:pt>
              </c:strCache>
            </c:strRef>
          </c:cat>
          <c:val>
            <c:numRef>
              <c:f>Sheet1!$C$2:$C$17</c:f>
              <c:numCache>
                <c:formatCode>General</c:formatCode>
                <c:ptCount val="16"/>
                <c:pt idx="0">
                  <c:v>46.1</c:v>
                </c:pt>
                <c:pt idx="1">
                  <c:v>46</c:v>
                </c:pt>
                <c:pt idx="2">
                  <c:v>46.2</c:v>
                </c:pt>
                <c:pt idx="3">
                  <c:v>45.8</c:v>
                </c:pt>
                <c:pt idx="4">
                  <c:v>46.7</c:v>
                </c:pt>
                <c:pt idx="5">
                  <c:v>46.6</c:v>
                </c:pt>
                <c:pt idx="6">
                  <c:v>43.2</c:v>
                </c:pt>
                <c:pt idx="7">
                  <c:v>48.2</c:v>
                </c:pt>
                <c:pt idx="8">
                  <c:v>44.8</c:v>
                </c:pt>
                <c:pt idx="9">
                  <c:v>43.4</c:v>
                </c:pt>
                <c:pt idx="10">
                  <c:v>45.3</c:v>
                </c:pt>
                <c:pt idx="11">
                  <c:v>44.3</c:v>
                </c:pt>
                <c:pt idx="12">
                  <c:v>39.200000000000003</c:v>
                </c:pt>
                <c:pt idx="13">
                  <c:v>38.1</c:v>
                </c:pt>
                <c:pt idx="14">
                  <c:v>36.4</c:v>
                </c:pt>
                <c:pt idx="15">
                  <c:v>34.9</c:v>
                </c:pt>
              </c:numCache>
            </c:numRef>
          </c:val>
          <c:smooth val="0"/>
          <c:extLst>
            <c:ext xmlns:c16="http://schemas.microsoft.com/office/drawing/2014/chart" uri="{C3380CC4-5D6E-409C-BE32-E72D297353CC}">
              <c16:uniqueId val="{00000003-12E6-4996-AD61-2A2643A14BB2}"/>
            </c:ext>
          </c:extLst>
        </c:ser>
        <c:dLbls>
          <c:showLegendKey val="0"/>
          <c:showVal val="0"/>
          <c:showCatName val="0"/>
          <c:showSerName val="0"/>
          <c:showPercent val="0"/>
          <c:showBubbleSize val="0"/>
        </c:dLbls>
        <c:marker val="1"/>
        <c:smooth val="0"/>
        <c:axId val="1326062584"/>
        <c:axId val="1326059704"/>
      </c:lineChart>
      <c:catAx>
        <c:axId val="93732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7334264"/>
        <c:crosses val="autoZero"/>
        <c:auto val="1"/>
        <c:lblAlgn val="ctr"/>
        <c:lblOffset val="100"/>
        <c:noMultiLvlLbl val="0"/>
      </c:catAx>
      <c:valAx>
        <c:axId val="9373342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7328144"/>
        <c:crosses val="autoZero"/>
        <c:crossBetween val="between"/>
      </c:valAx>
      <c:valAx>
        <c:axId val="1326059704"/>
        <c:scaling>
          <c:orientation val="minMax"/>
          <c:max val="8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62584"/>
        <c:crosses val="max"/>
        <c:crossBetween val="between"/>
      </c:valAx>
      <c:catAx>
        <c:axId val="1326062584"/>
        <c:scaling>
          <c:orientation val="minMax"/>
        </c:scaling>
        <c:delete val="1"/>
        <c:axPos val="b"/>
        <c:numFmt formatCode="General" sourceLinked="1"/>
        <c:majorTickMark val="out"/>
        <c:minorTickMark val="none"/>
        <c:tickLblPos val="nextTo"/>
        <c:crossAx val="1326059704"/>
        <c:crosses val="autoZero"/>
        <c:auto val="1"/>
        <c:lblAlgn val="ctr"/>
        <c:lblOffset val="100"/>
        <c:noMultiLvlLbl val="0"/>
      </c:catAx>
      <c:spPr>
        <a:noFill/>
        <a:ln>
          <a:noFill/>
        </a:ln>
        <a:effectLst/>
      </c:spPr>
    </c:plotArea>
    <c:legend>
      <c:legendPos val="b"/>
      <c:layout>
        <c:manualLayout>
          <c:xMode val="edge"/>
          <c:yMode val="edge"/>
          <c:x val="0.12200403409915908"/>
          <c:y val="0.80031818273355215"/>
          <c:w val="0.76265729225526435"/>
          <c:h val="0.162094923250173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Inflow &amp; Infiltration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Inflow &amp; Infiltration (%)</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numRef>
              <c:f>Sheet1!$A$2:$A$12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Sheet1!$B$2:$B$12</c:f>
              <c:numCache>
                <c:formatCode>0.0%</c:formatCode>
                <c:ptCount val="11"/>
                <c:pt idx="0">
                  <c:v>0.37</c:v>
                </c:pt>
                <c:pt idx="1">
                  <c:v>0.38</c:v>
                </c:pt>
                <c:pt idx="2">
                  <c:v>0.31</c:v>
                </c:pt>
                <c:pt idx="3">
                  <c:v>0.26</c:v>
                </c:pt>
                <c:pt idx="4">
                  <c:v>0.27</c:v>
                </c:pt>
                <c:pt idx="5">
                  <c:v>0.21</c:v>
                </c:pt>
                <c:pt idx="6">
                  <c:v>0.18</c:v>
                </c:pt>
                <c:pt idx="7">
                  <c:v>0.16</c:v>
                </c:pt>
                <c:pt idx="8">
                  <c:v>0.20300000000000001</c:v>
                </c:pt>
                <c:pt idx="9">
                  <c:v>0.16200000000000001</c:v>
                </c:pt>
                <c:pt idx="10">
                  <c:v>0.1484</c:v>
                </c:pt>
              </c:numCache>
            </c:numRef>
          </c:val>
          <c:extLst>
            <c:ext xmlns:c16="http://schemas.microsoft.com/office/drawing/2014/chart" uri="{C3380CC4-5D6E-409C-BE32-E72D297353CC}">
              <c16:uniqueId val="{00000001-B06C-4D2D-8D1B-B931EBCF7BAF}"/>
            </c:ext>
          </c:extLst>
        </c:ser>
        <c:dLbls>
          <c:showLegendKey val="0"/>
          <c:showVal val="0"/>
          <c:showCatName val="0"/>
          <c:showSerName val="0"/>
          <c:showPercent val="0"/>
          <c:showBubbleSize val="0"/>
        </c:dLbls>
        <c:gapWidth val="219"/>
        <c:overlap val="-27"/>
        <c:axId val="567279024"/>
        <c:axId val="567280824"/>
      </c:barChart>
      <c:catAx>
        <c:axId val="56727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280824"/>
        <c:crosses val="autoZero"/>
        <c:auto val="1"/>
        <c:lblAlgn val="ctr"/>
        <c:lblOffset val="100"/>
        <c:noMultiLvlLbl val="0"/>
      </c:catAx>
      <c:valAx>
        <c:axId val="5672808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27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F2B69BE65041B69E7BCC2BD0DE251F"/>
        <w:category>
          <w:name w:val="General"/>
          <w:gallery w:val="placeholder"/>
        </w:category>
        <w:types>
          <w:type w:val="bbPlcHdr"/>
        </w:types>
        <w:behaviors>
          <w:behavior w:val="content"/>
        </w:behaviors>
        <w:guid w:val="{857A0C91-D380-48C4-8B9A-A60AA4A10C13}"/>
      </w:docPartPr>
      <w:docPartBody>
        <w:p w:rsidR="00FE5B57" w:rsidRDefault="004A33BB" w:rsidP="004A33BB">
          <w:pPr>
            <w:pStyle w:val="DBF2B69BE65041B69E7BCC2BD0DE251F"/>
          </w:pPr>
          <w:r w:rsidRPr="00720254">
            <w:rPr>
              <w:rStyle w:val="PlaceholderText"/>
            </w:rPr>
            <w:t>Choose an item.</w:t>
          </w:r>
        </w:p>
      </w:docPartBody>
    </w:docPart>
    <w:docPart>
      <w:docPartPr>
        <w:name w:val="E5B521C059714A41B3CA1BBC147E4221"/>
        <w:category>
          <w:name w:val="General"/>
          <w:gallery w:val="placeholder"/>
        </w:category>
        <w:types>
          <w:type w:val="bbPlcHdr"/>
        </w:types>
        <w:behaviors>
          <w:behavior w:val="content"/>
        </w:behaviors>
        <w:guid w:val="{5FCAF632-A4BE-4935-A1BA-F0CB2A7F5E44}"/>
      </w:docPartPr>
      <w:docPartBody>
        <w:p w:rsidR="00FE5B57" w:rsidRDefault="004A33BB" w:rsidP="004A33BB">
          <w:pPr>
            <w:pStyle w:val="E5B521C059714A41B3CA1BBC147E4221"/>
          </w:pPr>
          <w:r w:rsidRPr="00720254">
            <w:rPr>
              <w:rStyle w:val="PlaceholderText"/>
            </w:rPr>
            <w:t>Choose an item.</w:t>
          </w:r>
        </w:p>
      </w:docPartBody>
    </w:docPart>
    <w:docPart>
      <w:docPartPr>
        <w:name w:val="CD35C87148F74EE0B2FCC5415B623A35"/>
        <w:category>
          <w:name w:val="General"/>
          <w:gallery w:val="placeholder"/>
        </w:category>
        <w:types>
          <w:type w:val="bbPlcHdr"/>
        </w:types>
        <w:behaviors>
          <w:behavior w:val="content"/>
        </w:behaviors>
        <w:guid w:val="{FBB80A0E-95A4-4990-97CF-010A47BF4100}"/>
      </w:docPartPr>
      <w:docPartBody>
        <w:p w:rsidR="00DD7EFD" w:rsidRDefault="00E73FF5" w:rsidP="00E73FF5">
          <w:pPr>
            <w:pStyle w:val="CD35C87148F74EE0B2FCC5415B623A35"/>
          </w:pPr>
          <w:r w:rsidRPr="00E11CB5">
            <w:rPr>
              <w:rStyle w:val="PlaceholderText"/>
            </w:rPr>
            <w:t>Click here to enter text.</w:t>
          </w:r>
        </w:p>
      </w:docPartBody>
    </w:docPart>
    <w:docPart>
      <w:docPartPr>
        <w:name w:val="092ECAF4515D457780C52E769D04BA8B"/>
        <w:category>
          <w:name w:val="General"/>
          <w:gallery w:val="placeholder"/>
        </w:category>
        <w:types>
          <w:type w:val="bbPlcHdr"/>
        </w:types>
        <w:behaviors>
          <w:behavior w:val="content"/>
        </w:behaviors>
        <w:guid w:val="{895C42C2-AEBC-4968-9681-F18BE82497DD}"/>
      </w:docPartPr>
      <w:docPartBody>
        <w:p w:rsidR="00DD7EFD" w:rsidRDefault="00E73FF5" w:rsidP="00E73FF5">
          <w:pPr>
            <w:pStyle w:val="092ECAF4515D457780C52E769D04BA8B"/>
          </w:pPr>
          <w:r w:rsidRPr="00E11CB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525"/>
    <w:rsid w:val="00053A5D"/>
    <w:rsid w:val="00085A2B"/>
    <w:rsid w:val="000A2A99"/>
    <w:rsid w:val="00177443"/>
    <w:rsid w:val="0019142E"/>
    <w:rsid w:val="00192709"/>
    <w:rsid w:val="002562CC"/>
    <w:rsid w:val="00360732"/>
    <w:rsid w:val="0039038D"/>
    <w:rsid w:val="003C5A86"/>
    <w:rsid w:val="003D4E62"/>
    <w:rsid w:val="004A0811"/>
    <w:rsid w:val="004A33BB"/>
    <w:rsid w:val="00607D1A"/>
    <w:rsid w:val="00612BE0"/>
    <w:rsid w:val="006F5525"/>
    <w:rsid w:val="007A67C9"/>
    <w:rsid w:val="008B46DE"/>
    <w:rsid w:val="0096600A"/>
    <w:rsid w:val="00A127C9"/>
    <w:rsid w:val="00A50695"/>
    <w:rsid w:val="00A90344"/>
    <w:rsid w:val="00B07FC8"/>
    <w:rsid w:val="00BC1246"/>
    <w:rsid w:val="00C566B3"/>
    <w:rsid w:val="00C568B8"/>
    <w:rsid w:val="00CA2E65"/>
    <w:rsid w:val="00CF32B5"/>
    <w:rsid w:val="00D232CF"/>
    <w:rsid w:val="00D8049F"/>
    <w:rsid w:val="00DD7EFD"/>
    <w:rsid w:val="00E275B7"/>
    <w:rsid w:val="00E73FF5"/>
    <w:rsid w:val="00F172AC"/>
    <w:rsid w:val="00FE5B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60732"/>
  </w:style>
  <w:style w:type="character" w:styleId="PlaceholderText">
    <w:name w:val="Placeholder Text"/>
    <w:basedOn w:val="DefaultParagraphFont"/>
    <w:uiPriority w:val="99"/>
    <w:semiHidden/>
    <w:rsid w:val="00E73FF5"/>
    <w:rPr>
      <w:color w:val="808080"/>
    </w:rPr>
  </w:style>
  <w:style w:type="paragraph" w:customStyle="1" w:styleId="DBF2B69BE65041B69E7BCC2BD0DE251F">
    <w:name w:val="DBF2B69BE65041B69E7BCC2BD0DE251F"/>
    <w:rsid w:val="004A33BB"/>
    <w:rPr>
      <w:lang w:val="en-US" w:eastAsia="en-US"/>
    </w:rPr>
  </w:style>
  <w:style w:type="paragraph" w:customStyle="1" w:styleId="E5B521C059714A41B3CA1BBC147E4221">
    <w:name w:val="E5B521C059714A41B3CA1BBC147E4221"/>
    <w:rsid w:val="004A33BB"/>
    <w:rPr>
      <w:lang w:val="en-US" w:eastAsia="en-US"/>
    </w:rPr>
  </w:style>
  <w:style w:type="paragraph" w:customStyle="1" w:styleId="CD35C87148F74EE0B2FCC5415B623A35">
    <w:name w:val="CD35C87148F74EE0B2FCC5415B623A35"/>
    <w:rsid w:val="00E73FF5"/>
    <w:pPr>
      <w:spacing w:after="160" w:line="278" w:lineRule="auto"/>
    </w:pPr>
    <w:rPr>
      <w:kern w:val="2"/>
      <w:sz w:val="24"/>
      <w:szCs w:val="24"/>
      <w:lang w:val="en-US" w:eastAsia="en-US"/>
      <w14:ligatures w14:val="standardContextual"/>
    </w:rPr>
  </w:style>
  <w:style w:type="paragraph" w:customStyle="1" w:styleId="092ECAF4515D457780C52E769D04BA8B">
    <w:name w:val="092ECAF4515D457780C52E769D04BA8B"/>
    <w:rsid w:val="00E73FF5"/>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A60B513EE9C45AD1899BB750E41F9" ma:contentTypeVersion="23" ma:contentTypeDescription="Create a new document." ma:contentTypeScope="" ma:versionID="0b08c8de59f9077af54dd28476fdef54">
  <xsd:schema xmlns:xsd="http://www.w3.org/2001/XMLSchema" xmlns:xs="http://www.w3.org/2001/XMLSchema" xmlns:p="http://schemas.microsoft.com/office/2006/metadata/properties" xmlns:ns2="63db6d29-3b7c-4103-8d96-2451079d8e63" xmlns:ns3="2a2afe59-1543-489d-b1f3-ec08af6a7d16" targetNamespace="http://schemas.microsoft.com/office/2006/metadata/properties" ma:root="true" ma:fieldsID="c5ae284390fae22b7eb6a505448f41a8" ns2:_="" ns3:_="">
    <xsd:import namespace="63db6d29-3b7c-4103-8d96-2451079d8e63"/>
    <xsd:import namespace="2a2afe59-1543-489d-b1f3-ec08af6a7d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b6d29-3b7c-4103-8d96-2451079d8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77ad45-374a-454f-a407-e7b1109e322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afe59-1543-489d-b1f3-ec08af6a7d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de7ee4e-94bb-4de2-a0e0-827b3ea37f1f}" ma:internalName="TaxCatchAll" ma:showField="CatchAllData" ma:web="2a2afe59-1543-489d-b1f3-ec08af6a7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afe59-1543-489d-b1f3-ec08af6a7d16" xsi:nil="true"/>
    <lcf76f155ced4ddcb4097134ff3c332f xmlns="63db6d29-3b7c-4103-8d96-2451079d8e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99782-7FAA-402F-B5AF-C7F153B60F07}">
  <ds:schemaRefs>
    <ds:schemaRef ds:uri="http://schemas.microsoft.com/sharepoint/v3/contenttype/forms"/>
  </ds:schemaRefs>
</ds:datastoreItem>
</file>

<file path=customXml/itemProps2.xml><?xml version="1.0" encoding="utf-8"?>
<ds:datastoreItem xmlns:ds="http://schemas.openxmlformats.org/officeDocument/2006/customXml" ds:itemID="{5A1C5B60-3DDC-4E2B-B472-21FBE8451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b6d29-3b7c-4103-8d96-2451079d8e63"/>
    <ds:schemaRef ds:uri="2a2afe59-1543-489d-b1f3-ec08af6a7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CDB54-A8FD-44BA-BD95-39A4EF9C8E98}">
  <ds:schemaRefs>
    <ds:schemaRef ds:uri="http://schemas.microsoft.com/office/2006/metadata/properties"/>
    <ds:schemaRef ds:uri="http://schemas.microsoft.com/office/infopath/2007/PartnerControls"/>
    <ds:schemaRef ds:uri="2a2afe59-1543-489d-b1f3-ec08af6a7d16"/>
    <ds:schemaRef ds:uri="63db6d29-3b7c-4103-8d96-2451079d8e63"/>
  </ds:schemaRefs>
</ds:datastoreItem>
</file>

<file path=customXml/itemProps4.xml><?xml version="1.0" encoding="utf-8"?>
<ds:datastoreItem xmlns:ds="http://schemas.openxmlformats.org/officeDocument/2006/customXml" ds:itemID="{35AA87E8-E360-4D28-912B-24998E01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Memo Template</vt:lpstr>
    </vt:vector>
  </TitlesOfParts>
  <Company>City of Cambridge</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
  <dc:creator>Denise</dc:creator>
  <cp:keywords/>
  <cp:lastModifiedBy>Terryn Conway</cp:lastModifiedBy>
  <cp:revision>2</cp:revision>
  <dcterms:created xsi:type="dcterms:W3CDTF">2026-05-12T14:22:00Z</dcterms:created>
  <dcterms:modified xsi:type="dcterms:W3CDTF">2026-05-12T14:22:00Z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0x010100E03A60B513EE9C45AD1899BB750E41F9</vt:lpwstr>
  </property>
  <property fmtid="{D5CDD505-2E9C-101B-9397-08002B2CF9AE}" pid="3" name="_dlc_DocIdItemGuid">
    <vt:lpwstr>0e583bf5-e6d9-46db-a5b4-3bd80fc3b1a8</vt:lpwstr>
  </property>
  <property fmtid="{D5CDD505-2E9C-101B-9397-08002B2CF9AE}" pid="4" name="Order">
    <vt:r8>2500</vt:r8>
  </property>
  <property fmtid="{D5CDD505-2E9C-101B-9397-08002B2CF9AE}" pid="5" name="MediaServiceImageTags">
    <vt:lpwstr/>
  </property>
</Properties>
</file>